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kern w:val="0"/>
          <w:sz w:val="40"/>
        </w:rPr>
        <w:alias w:val="Title - Title and Subtitle"/>
        <w:tag w:val="Ppyc7FjJog1LOR8q5Gy3v8-KWz8EPdyPrAZ9AmbxwqTv1"/>
        <w:id w:val="1668057744"/>
      </w:sdtPr>
      <w:sdtEndPr>
        <w:rPr>
          <w:sz w:val="32"/>
        </w:rPr>
      </w:sdtEndPr>
      <w:sdtContent>
        <w:p w14:paraId="2ADD9D58" w14:textId="22BE0AEF" w:rsidR="006552FF" w:rsidRPr="00696719" w:rsidRDefault="00101080" w:rsidP="006552FF">
          <w:pPr>
            <w:pStyle w:val="Title"/>
            <w:spacing w:before="1320"/>
            <w:rPr>
              <w:sz w:val="40"/>
            </w:rPr>
          </w:pPr>
          <w:sdt>
            <w:sdtPr>
              <w:rPr>
                <w:sz w:val="40"/>
              </w:rPr>
              <w:id w:val="1804266312"/>
              <w:placeholder>
                <w:docPart w:val="27D4C0672DBD41B995BCC91A5CCA04C2"/>
              </w:placeholder>
              <w:dataBinding w:prefixMappings="xmlns:cp=&quot;http://schemas.openxmlformats.org/package/2006/metadata/core-properties&quot; xmlns:dc=&quot;http://purl.org/dc/elements/1.1/&quot; xmlns:dcterms=&quot;http://purl.org/dc/terms/&quot;" w:xpath="/cp:coreProperties[1]/dc:title[1]" w:storeItemID="{6C3C8BC8-F283-45AE-878A-BAB7291924A1}"/>
              <w:text w:multiLine="1"/>
            </w:sdtPr>
            <w:sdtEndPr/>
            <w:sdtContent>
              <w:r w:rsidR="006552FF">
                <w:rPr>
                  <w:sz w:val="40"/>
                </w:rPr>
                <w:t>Guidance on the common indicators of the Recovery and Resilience Facility</w:t>
              </w:r>
            </w:sdtContent>
          </w:sdt>
        </w:p>
        <w:p w14:paraId="12EA0566" w14:textId="2246865D" w:rsidR="006552FF" w:rsidRPr="00696719" w:rsidRDefault="00101080" w:rsidP="006552FF">
          <w:pPr>
            <w:pStyle w:val="SubTitle1"/>
            <w:spacing w:after="960"/>
            <w:rPr>
              <w:sz w:val="32"/>
            </w:rPr>
          </w:pPr>
          <w:sdt>
            <w:sdtPr>
              <w:rPr>
                <w:b w:val="0"/>
                <w:i/>
                <w:sz w:val="32"/>
              </w:rPr>
              <w:id w:val="-1771772960"/>
              <w:placeholder>
                <w:docPart w:val="D0DFE12820454CBE9B414EB733CD6B29"/>
              </w:placeholder>
              <w:dataBinding w:prefixMappings="xmlns:cp=&quot;http://schemas.openxmlformats.org/package/2006/metadata/core-properties&quot; xmlns:dc=&quot;http://purl.org/dc/elements/1.1/&quot; xmlns:dcterms=&quot;http://purl.org/dc/terms/&quot;" w:xpath="/cp:coreProperties[1]/dc:subject[1]" w:storeItemID="{6C3C8BC8-F283-45AE-878A-BAB7291924A1}"/>
              <w:text w:multiLine="1"/>
            </w:sdtPr>
            <w:sdtEndPr/>
            <w:sdtContent>
              <w:r w:rsidR="00EB40AD">
                <w:rPr>
                  <w:b w:val="0"/>
                  <w:i/>
                  <w:sz w:val="32"/>
                </w:rPr>
                <w:t>Statistical guidance for Member States</w:t>
              </w:r>
            </w:sdtContent>
          </w:sdt>
        </w:p>
      </w:sdtContent>
    </w:sdt>
    <w:p w14:paraId="000273A5" w14:textId="77777777" w:rsidR="0048707F" w:rsidRPr="00101080" w:rsidRDefault="0048707F" w:rsidP="0048707F">
      <w:pPr>
        <w:pBdr>
          <w:top w:val="single" w:sz="4" w:space="1" w:color="auto"/>
          <w:left w:val="single" w:sz="4" w:space="4" w:color="auto"/>
          <w:bottom w:val="single" w:sz="4" w:space="1" w:color="auto"/>
          <w:right w:val="single" w:sz="4" w:space="4" w:color="auto"/>
        </w:pBdr>
        <w:rPr>
          <w:i/>
        </w:rPr>
      </w:pPr>
      <w:r w:rsidRPr="00101080">
        <w:rPr>
          <w:i/>
        </w:rPr>
        <w:t xml:space="preserve">This document is based on the text of the Commission Delegated Regulation (EU) 2021/2106 of 28 September 2021 on supplementing Regulation (EU) 2021/241 of the European Parliament and of the Council establishing the Recovery and Resilience Facility by setting out the common indicators and the detailed elements of the recovery and resilience scoreboard. </w:t>
      </w:r>
    </w:p>
    <w:p w14:paraId="791B2E6B" w14:textId="709F44D8" w:rsidR="0048707F" w:rsidRPr="00101080" w:rsidRDefault="0048707F" w:rsidP="0048707F">
      <w:pPr>
        <w:pBdr>
          <w:top w:val="single" w:sz="4" w:space="1" w:color="auto"/>
          <w:left w:val="single" w:sz="4" w:space="4" w:color="auto"/>
          <w:bottom w:val="single" w:sz="4" w:space="1" w:color="auto"/>
          <w:right w:val="single" w:sz="4" w:space="4" w:color="auto"/>
        </w:pBdr>
        <w:rPr>
          <w:i/>
          <w:sz w:val="48"/>
          <w:szCs w:val="48"/>
        </w:rPr>
      </w:pPr>
      <w:r w:rsidRPr="00101080">
        <w:rPr>
          <w:i/>
        </w:rPr>
        <w:t>This guidance is intended to assist national authorities in rep</w:t>
      </w:r>
      <w:r w:rsidR="00EB40AD" w:rsidRPr="00101080">
        <w:rPr>
          <w:i/>
        </w:rPr>
        <w:t>orting data under</w:t>
      </w:r>
      <w:r w:rsidRPr="00101080">
        <w:rPr>
          <w:i/>
        </w:rPr>
        <w:t xml:space="preserve"> the common indicators by giving further statistical information. It has not been endorsed by the European Commission and shall be regarded as expressing the preliminary views of Commission services.</w:t>
      </w:r>
    </w:p>
    <w:p w14:paraId="51C977A2" w14:textId="77777777" w:rsidR="0048707F" w:rsidRDefault="0048707F" w:rsidP="0048707F">
      <w:r>
        <w:br w:type="page"/>
      </w:r>
    </w:p>
    <w:sdt>
      <w:sdtPr>
        <w:rPr>
          <w:rFonts w:ascii="Times New Roman" w:eastAsiaTheme="minorHAnsi" w:hAnsi="Times New Roman" w:cs="Times New Roman"/>
          <w:color w:val="auto"/>
          <w:sz w:val="24"/>
          <w:szCs w:val="22"/>
          <w:lang w:val="en-GB"/>
        </w:rPr>
        <w:id w:val="-1387248547"/>
        <w:docPartObj>
          <w:docPartGallery w:val="Table of Contents"/>
          <w:docPartUnique/>
        </w:docPartObj>
      </w:sdtPr>
      <w:sdtEndPr>
        <w:rPr>
          <w:b/>
          <w:bCs/>
          <w:noProof/>
        </w:rPr>
      </w:sdtEndPr>
      <w:sdtContent>
        <w:p w14:paraId="73E7799B" w14:textId="17594495" w:rsidR="001F5716" w:rsidRPr="001F5716" w:rsidRDefault="001F5716">
          <w:pPr>
            <w:pStyle w:val="TOCHeading"/>
            <w:rPr>
              <w:rFonts w:ascii="Times New Roman" w:hAnsi="Times New Roman" w:cs="Times New Roman"/>
              <w:b/>
              <w:color w:val="auto"/>
            </w:rPr>
          </w:pPr>
          <w:r w:rsidRPr="001F5716">
            <w:rPr>
              <w:rFonts w:ascii="Times New Roman" w:hAnsi="Times New Roman" w:cs="Times New Roman"/>
              <w:b/>
              <w:color w:val="auto"/>
            </w:rPr>
            <w:t>Table of Contents</w:t>
          </w:r>
        </w:p>
        <w:p w14:paraId="662104BB" w14:textId="0F87D09D" w:rsidR="001F5716" w:rsidRDefault="001F5716">
          <w:pPr>
            <w:pStyle w:val="TOC1"/>
            <w:tabs>
              <w:tab w:val="left" w:pos="440"/>
              <w:tab w:val="right" w:leader="dot" w:pos="9063"/>
            </w:tabs>
            <w:rPr>
              <w:noProof/>
            </w:rPr>
          </w:pPr>
          <w:r>
            <w:fldChar w:fldCharType="begin"/>
          </w:r>
          <w:r>
            <w:instrText xml:space="preserve"> TOC \o "1-3" \h \z \u </w:instrText>
          </w:r>
          <w:r>
            <w:fldChar w:fldCharType="separate"/>
          </w:r>
          <w:hyperlink w:anchor="_Toc93393168" w:history="1">
            <w:r w:rsidRPr="00A0497E">
              <w:rPr>
                <w:rStyle w:val="Hyperlink"/>
                <w:b/>
                <w:bCs/>
                <w:noProof/>
              </w:rPr>
              <w:t>1.</w:t>
            </w:r>
            <w:r>
              <w:rPr>
                <w:noProof/>
              </w:rPr>
              <w:tab/>
            </w:r>
            <w:r w:rsidRPr="00A0497E">
              <w:rPr>
                <w:rStyle w:val="Hyperlink"/>
                <w:b/>
                <w:bCs/>
                <w:noProof/>
              </w:rPr>
              <w:t>General principles</w:t>
            </w:r>
            <w:r>
              <w:rPr>
                <w:noProof/>
                <w:webHidden/>
              </w:rPr>
              <w:tab/>
            </w:r>
            <w:r>
              <w:rPr>
                <w:noProof/>
                <w:webHidden/>
              </w:rPr>
              <w:fldChar w:fldCharType="begin"/>
            </w:r>
            <w:r>
              <w:rPr>
                <w:noProof/>
                <w:webHidden/>
              </w:rPr>
              <w:instrText xml:space="preserve"> PAGEREF _Toc93393168 \h </w:instrText>
            </w:r>
            <w:r>
              <w:rPr>
                <w:noProof/>
                <w:webHidden/>
              </w:rPr>
            </w:r>
            <w:r>
              <w:rPr>
                <w:noProof/>
                <w:webHidden/>
              </w:rPr>
              <w:fldChar w:fldCharType="separate"/>
            </w:r>
            <w:r w:rsidR="00867E9F">
              <w:rPr>
                <w:noProof/>
                <w:webHidden/>
              </w:rPr>
              <w:t>3</w:t>
            </w:r>
            <w:r>
              <w:rPr>
                <w:noProof/>
                <w:webHidden/>
              </w:rPr>
              <w:fldChar w:fldCharType="end"/>
            </w:r>
          </w:hyperlink>
        </w:p>
        <w:p w14:paraId="1BBF5E1E" w14:textId="7F76857B" w:rsidR="001F5716" w:rsidRPr="001F5716" w:rsidRDefault="00101080">
          <w:pPr>
            <w:pStyle w:val="TOC2"/>
            <w:tabs>
              <w:tab w:val="left" w:pos="880"/>
              <w:tab w:val="right" w:leader="dot" w:pos="9063"/>
            </w:tabs>
            <w:rPr>
              <w:noProof/>
            </w:rPr>
          </w:pPr>
          <w:hyperlink w:anchor="_Toc93393169" w:history="1">
            <w:r w:rsidR="001F5716" w:rsidRPr="001F5716">
              <w:rPr>
                <w:rStyle w:val="Hyperlink"/>
                <w:noProof/>
              </w:rPr>
              <w:t>1.1.</w:t>
            </w:r>
            <w:r w:rsidR="001F5716" w:rsidRPr="001F5716">
              <w:rPr>
                <w:noProof/>
              </w:rPr>
              <w:tab/>
            </w:r>
            <w:r w:rsidR="001F5716" w:rsidRPr="001F5716">
              <w:rPr>
                <w:rStyle w:val="Hyperlink"/>
                <w:noProof/>
              </w:rPr>
              <w:t>Reporting period</w:t>
            </w:r>
            <w:r w:rsidR="001F5716" w:rsidRPr="001F5716">
              <w:rPr>
                <w:noProof/>
                <w:webHidden/>
              </w:rPr>
              <w:tab/>
            </w:r>
            <w:r w:rsidR="001F5716" w:rsidRPr="001F5716">
              <w:rPr>
                <w:noProof/>
                <w:webHidden/>
              </w:rPr>
              <w:fldChar w:fldCharType="begin"/>
            </w:r>
            <w:r w:rsidR="001F5716" w:rsidRPr="001F5716">
              <w:rPr>
                <w:noProof/>
                <w:webHidden/>
              </w:rPr>
              <w:instrText xml:space="preserve"> PAGEREF _Toc93393169 \h </w:instrText>
            </w:r>
            <w:r w:rsidR="001F5716" w:rsidRPr="001F5716">
              <w:rPr>
                <w:noProof/>
                <w:webHidden/>
              </w:rPr>
            </w:r>
            <w:r w:rsidR="001F5716" w:rsidRPr="001F5716">
              <w:rPr>
                <w:noProof/>
                <w:webHidden/>
              </w:rPr>
              <w:fldChar w:fldCharType="separate"/>
            </w:r>
            <w:r w:rsidR="00867E9F">
              <w:rPr>
                <w:noProof/>
                <w:webHidden/>
              </w:rPr>
              <w:t>3</w:t>
            </w:r>
            <w:r w:rsidR="001F5716" w:rsidRPr="001F5716">
              <w:rPr>
                <w:noProof/>
                <w:webHidden/>
              </w:rPr>
              <w:fldChar w:fldCharType="end"/>
            </w:r>
          </w:hyperlink>
        </w:p>
        <w:p w14:paraId="178A52C2" w14:textId="6E80C0F8" w:rsidR="001F5716" w:rsidRPr="001F5716" w:rsidRDefault="00101080">
          <w:pPr>
            <w:pStyle w:val="TOC2"/>
            <w:tabs>
              <w:tab w:val="left" w:pos="880"/>
              <w:tab w:val="right" w:leader="dot" w:pos="9063"/>
            </w:tabs>
            <w:rPr>
              <w:noProof/>
            </w:rPr>
          </w:pPr>
          <w:hyperlink w:anchor="_Toc93393170" w:history="1">
            <w:r w:rsidR="001F5716" w:rsidRPr="001F5716">
              <w:rPr>
                <w:rStyle w:val="Hyperlink"/>
                <w:noProof/>
              </w:rPr>
              <w:t>1.2.</w:t>
            </w:r>
            <w:r w:rsidR="001F5716" w:rsidRPr="001F5716">
              <w:rPr>
                <w:noProof/>
              </w:rPr>
              <w:tab/>
            </w:r>
            <w:r w:rsidR="001F5716" w:rsidRPr="001F5716">
              <w:rPr>
                <w:rStyle w:val="Hyperlink"/>
                <w:noProof/>
              </w:rPr>
              <w:t>Estimates on implemented measures</w:t>
            </w:r>
            <w:r w:rsidR="001F5716" w:rsidRPr="001F5716">
              <w:rPr>
                <w:noProof/>
                <w:webHidden/>
              </w:rPr>
              <w:tab/>
            </w:r>
            <w:r w:rsidR="001F5716" w:rsidRPr="001F5716">
              <w:rPr>
                <w:noProof/>
                <w:webHidden/>
              </w:rPr>
              <w:fldChar w:fldCharType="begin"/>
            </w:r>
            <w:r w:rsidR="001F5716" w:rsidRPr="001F5716">
              <w:rPr>
                <w:noProof/>
                <w:webHidden/>
              </w:rPr>
              <w:instrText xml:space="preserve"> PAGEREF _Toc93393170 \h </w:instrText>
            </w:r>
            <w:r w:rsidR="001F5716" w:rsidRPr="001F5716">
              <w:rPr>
                <w:noProof/>
                <w:webHidden/>
              </w:rPr>
            </w:r>
            <w:r w:rsidR="001F5716" w:rsidRPr="001F5716">
              <w:rPr>
                <w:noProof/>
                <w:webHidden/>
              </w:rPr>
              <w:fldChar w:fldCharType="separate"/>
            </w:r>
            <w:r w:rsidR="00867E9F">
              <w:rPr>
                <w:noProof/>
                <w:webHidden/>
              </w:rPr>
              <w:t>4</w:t>
            </w:r>
            <w:r w:rsidR="001F5716" w:rsidRPr="001F5716">
              <w:rPr>
                <w:noProof/>
                <w:webHidden/>
              </w:rPr>
              <w:fldChar w:fldCharType="end"/>
            </w:r>
          </w:hyperlink>
        </w:p>
        <w:p w14:paraId="3095963F" w14:textId="7D2DFC4B" w:rsidR="001F5716" w:rsidRPr="001F5716" w:rsidRDefault="00101080">
          <w:pPr>
            <w:pStyle w:val="TOC2"/>
            <w:tabs>
              <w:tab w:val="left" w:pos="880"/>
              <w:tab w:val="right" w:leader="dot" w:pos="9063"/>
            </w:tabs>
            <w:rPr>
              <w:noProof/>
            </w:rPr>
          </w:pPr>
          <w:hyperlink w:anchor="_Toc93393171" w:history="1">
            <w:r w:rsidR="001F5716" w:rsidRPr="001F5716">
              <w:rPr>
                <w:rStyle w:val="Hyperlink"/>
                <w:noProof/>
              </w:rPr>
              <w:t>1.3.</w:t>
            </w:r>
            <w:r w:rsidR="001F5716" w:rsidRPr="001F5716">
              <w:rPr>
                <w:noProof/>
              </w:rPr>
              <w:tab/>
            </w:r>
            <w:r w:rsidR="001F5716" w:rsidRPr="001F5716">
              <w:rPr>
                <w:rStyle w:val="Hyperlink"/>
                <w:noProof/>
              </w:rPr>
              <w:t>Counting methodology</w:t>
            </w:r>
            <w:r w:rsidR="001F5716" w:rsidRPr="001F5716">
              <w:rPr>
                <w:noProof/>
                <w:webHidden/>
              </w:rPr>
              <w:tab/>
            </w:r>
            <w:r w:rsidR="001F5716" w:rsidRPr="001F5716">
              <w:rPr>
                <w:noProof/>
                <w:webHidden/>
              </w:rPr>
              <w:fldChar w:fldCharType="begin"/>
            </w:r>
            <w:r w:rsidR="001F5716" w:rsidRPr="001F5716">
              <w:rPr>
                <w:noProof/>
                <w:webHidden/>
              </w:rPr>
              <w:instrText xml:space="preserve"> PAGEREF _Toc93393171 \h </w:instrText>
            </w:r>
            <w:r w:rsidR="001F5716" w:rsidRPr="001F5716">
              <w:rPr>
                <w:noProof/>
                <w:webHidden/>
              </w:rPr>
            </w:r>
            <w:r w:rsidR="001F5716" w:rsidRPr="001F5716">
              <w:rPr>
                <w:noProof/>
                <w:webHidden/>
              </w:rPr>
              <w:fldChar w:fldCharType="separate"/>
            </w:r>
            <w:r w:rsidR="00867E9F">
              <w:rPr>
                <w:noProof/>
                <w:webHidden/>
              </w:rPr>
              <w:t>4</w:t>
            </w:r>
            <w:r w:rsidR="001F5716" w:rsidRPr="001F5716">
              <w:rPr>
                <w:noProof/>
                <w:webHidden/>
              </w:rPr>
              <w:fldChar w:fldCharType="end"/>
            </w:r>
          </w:hyperlink>
        </w:p>
        <w:p w14:paraId="75B1CA72" w14:textId="4CD62A73" w:rsidR="001F5716" w:rsidRPr="001F5716" w:rsidRDefault="00101080">
          <w:pPr>
            <w:pStyle w:val="TOC2"/>
            <w:tabs>
              <w:tab w:val="left" w:pos="880"/>
              <w:tab w:val="right" w:leader="dot" w:pos="9063"/>
            </w:tabs>
            <w:rPr>
              <w:noProof/>
            </w:rPr>
          </w:pPr>
          <w:hyperlink w:anchor="_Toc93393172" w:history="1">
            <w:r w:rsidR="001F5716" w:rsidRPr="001F5716">
              <w:rPr>
                <w:rStyle w:val="Hyperlink"/>
                <w:noProof/>
              </w:rPr>
              <w:t>1.4.</w:t>
            </w:r>
            <w:r w:rsidR="001F5716" w:rsidRPr="001F5716">
              <w:rPr>
                <w:noProof/>
              </w:rPr>
              <w:tab/>
            </w:r>
            <w:r w:rsidR="001F5716" w:rsidRPr="001F5716">
              <w:rPr>
                <w:rStyle w:val="Hyperlink"/>
                <w:noProof/>
              </w:rPr>
              <w:t>Baseline and accumulation</w:t>
            </w:r>
            <w:r w:rsidR="001F5716" w:rsidRPr="001F5716">
              <w:rPr>
                <w:noProof/>
                <w:webHidden/>
              </w:rPr>
              <w:tab/>
            </w:r>
            <w:r w:rsidR="001F5716" w:rsidRPr="001F5716">
              <w:rPr>
                <w:noProof/>
                <w:webHidden/>
              </w:rPr>
              <w:fldChar w:fldCharType="begin"/>
            </w:r>
            <w:r w:rsidR="001F5716" w:rsidRPr="001F5716">
              <w:rPr>
                <w:noProof/>
                <w:webHidden/>
              </w:rPr>
              <w:instrText xml:space="preserve"> PAGEREF _Toc93393172 \h </w:instrText>
            </w:r>
            <w:r w:rsidR="001F5716" w:rsidRPr="001F5716">
              <w:rPr>
                <w:noProof/>
                <w:webHidden/>
              </w:rPr>
            </w:r>
            <w:r w:rsidR="001F5716" w:rsidRPr="001F5716">
              <w:rPr>
                <w:noProof/>
                <w:webHidden/>
              </w:rPr>
              <w:fldChar w:fldCharType="separate"/>
            </w:r>
            <w:r w:rsidR="00867E9F">
              <w:rPr>
                <w:noProof/>
                <w:webHidden/>
              </w:rPr>
              <w:t>5</w:t>
            </w:r>
            <w:r w:rsidR="001F5716" w:rsidRPr="001F5716">
              <w:rPr>
                <w:noProof/>
                <w:webHidden/>
              </w:rPr>
              <w:fldChar w:fldCharType="end"/>
            </w:r>
          </w:hyperlink>
        </w:p>
        <w:p w14:paraId="40B07645" w14:textId="36B49367" w:rsidR="001F5716" w:rsidRPr="001F5716" w:rsidRDefault="00101080">
          <w:pPr>
            <w:pStyle w:val="TOC2"/>
            <w:tabs>
              <w:tab w:val="left" w:pos="880"/>
              <w:tab w:val="right" w:leader="dot" w:pos="9063"/>
            </w:tabs>
            <w:rPr>
              <w:noProof/>
            </w:rPr>
          </w:pPr>
          <w:hyperlink w:anchor="_Toc93393173" w:history="1">
            <w:r w:rsidR="001F5716" w:rsidRPr="001F5716">
              <w:rPr>
                <w:rStyle w:val="Hyperlink"/>
                <w:noProof/>
              </w:rPr>
              <w:t>1.5.</w:t>
            </w:r>
            <w:r w:rsidR="001F5716" w:rsidRPr="001F5716">
              <w:rPr>
                <w:noProof/>
              </w:rPr>
              <w:tab/>
            </w:r>
            <w:r w:rsidR="001F5716" w:rsidRPr="001F5716">
              <w:rPr>
                <w:rStyle w:val="Hyperlink"/>
                <w:noProof/>
              </w:rPr>
              <w:t>Methodology applied</w:t>
            </w:r>
            <w:r w:rsidR="001F5716" w:rsidRPr="001F5716">
              <w:rPr>
                <w:noProof/>
                <w:webHidden/>
              </w:rPr>
              <w:tab/>
            </w:r>
            <w:r w:rsidR="001F5716" w:rsidRPr="001F5716">
              <w:rPr>
                <w:noProof/>
                <w:webHidden/>
              </w:rPr>
              <w:fldChar w:fldCharType="begin"/>
            </w:r>
            <w:r w:rsidR="001F5716" w:rsidRPr="001F5716">
              <w:rPr>
                <w:noProof/>
                <w:webHidden/>
              </w:rPr>
              <w:instrText xml:space="preserve"> PAGEREF _Toc93393173 \h </w:instrText>
            </w:r>
            <w:r w:rsidR="001F5716" w:rsidRPr="001F5716">
              <w:rPr>
                <w:noProof/>
                <w:webHidden/>
              </w:rPr>
            </w:r>
            <w:r w:rsidR="001F5716" w:rsidRPr="001F5716">
              <w:rPr>
                <w:noProof/>
                <w:webHidden/>
              </w:rPr>
              <w:fldChar w:fldCharType="separate"/>
            </w:r>
            <w:r w:rsidR="00867E9F">
              <w:rPr>
                <w:noProof/>
                <w:webHidden/>
              </w:rPr>
              <w:t>5</w:t>
            </w:r>
            <w:r w:rsidR="001F5716" w:rsidRPr="001F5716">
              <w:rPr>
                <w:noProof/>
                <w:webHidden/>
              </w:rPr>
              <w:fldChar w:fldCharType="end"/>
            </w:r>
          </w:hyperlink>
        </w:p>
        <w:p w14:paraId="4CB5FC79" w14:textId="17C10E51" w:rsidR="001F5716" w:rsidRDefault="00101080">
          <w:pPr>
            <w:pStyle w:val="TOC1"/>
            <w:tabs>
              <w:tab w:val="left" w:pos="440"/>
              <w:tab w:val="right" w:leader="dot" w:pos="9063"/>
            </w:tabs>
            <w:rPr>
              <w:noProof/>
            </w:rPr>
          </w:pPr>
          <w:hyperlink w:anchor="_Toc93393174" w:history="1">
            <w:r w:rsidR="001F5716" w:rsidRPr="00A0497E">
              <w:rPr>
                <w:rStyle w:val="Hyperlink"/>
                <w:b/>
                <w:noProof/>
              </w:rPr>
              <w:t>2.</w:t>
            </w:r>
            <w:r w:rsidR="001F5716">
              <w:rPr>
                <w:noProof/>
              </w:rPr>
              <w:tab/>
            </w:r>
            <w:r w:rsidR="001F5716" w:rsidRPr="00A0497E">
              <w:rPr>
                <w:rStyle w:val="Hyperlink"/>
                <w:b/>
                <w:noProof/>
              </w:rPr>
              <w:t>Statistical concepts and aggregates</w:t>
            </w:r>
            <w:r w:rsidR="001F5716">
              <w:rPr>
                <w:noProof/>
                <w:webHidden/>
              </w:rPr>
              <w:tab/>
            </w:r>
            <w:r w:rsidR="001F5716">
              <w:rPr>
                <w:noProof/>
                <w:webHidden/>
              </w:rPr>
              <w:fldChar w:fldCharType="begin"/>
            </w:r>
            <w:r w:rsidR="001F5716">
              <w:rPr>
                <w:noProof/>
                <w:webHidden/>
              </w:rPr>
              <w:instrText xml:space="preserve"> PAGEREF _Toc93393174 \h </w:instrText>
            </w:r>
            <w:r w:rsidR="001F5716">
              <w:rPr>
                <w:noProof/>
                <w:webHidden/>
              </w:rPr>
            </w:r>
            <w:r w:rsidR="001F5716">
              <w:rPr>
                <w:noProof/>
                <w:webHidden/>
              </w:rPr>
              <w:fldChar w:fldCharType="separate"/>
            </w:r>
            <w:r w:rsidR="00867E9F">
              <w:rPr>
                <w:noProof/>
                <w:webHidden/>
              </w:rPr>
              <w:t>6</w:t>
            </w:r>
            <w:r w:rsidR="001F5716">
              <w:rPr>
                <w:noProof/>
                <w:webHidden/>
              </w:rPr>
              <w:fldChar w:fldCharType="end"/>
            </w:r>
          </w:hyperlink>
        </w:p>
        <w:p w14:paraId="7CA38BC4" w14:textId="43F43F4E" w:rsidR="001F5716" w:rsidRDefault="00101080">
          <w:pPr>
            <w:pStyle w:val="TOC1"/>
            <w:tabs>
              <w:tab w:val="left" w:pos="440"/>
              <w:tab w:val="right" w:leader="dot" w:pos="9063"/>
            </w:tabs>
            <w:rPr>
              <w:noProof/>
            </w:rPr>
          </w:pPr>
          <w:hyperlink w:anchor="_Toc93393175" w:history="1">
            <w:r w:rsidR="001F5716" w:rsidRPr="00A0497E">
              <w:rPr>
                <w:rStyle w:val="Hyperlink"/>
                <w:b/>
                <w:noProof/>
              </w:rPr>
              <w:t>3.</w:t>
            </w:r>
            <w:r w:rsidR="001F5716">
              <w:rPr>
                <w:noProof/>
              </w:rPr>
              <w:tab/>
            </w:r>
            <w:r w:rsidR="001F5716" w:rsidRPr="00A0497E">
              <w:rPr>
                <w:rStyle w:val="Hyperlink"/>
                <w:b/>
                <w:noProof/>
              </w:rPr>
              <w:t>Common indicators</w:t>
            </w:r>
            <w:r w:rsidR="001F5716">
              <w:rPr>
                <w:noProof/>
                <w:webHidden/>
              </w:rPr>
              <w:tab/>
            </w:r>
            <w:r w:rsidR="001F5716">
              <w:rPr>
                <w:noProof/>
                <w:webHidden/>
              </w:rPr>
              <w:fldChar w:fldCharType="begin"/>
            </w:r>
            <w:r w:rsidR="001F5716">
              <w:rPr>
                <w:noProof/>
                <w:webHidden/>
              </w:rPr>
              <w:instrText xml:space="preserve"> PAGEREF _Toc93393175 \h </w:instrText>
            </w:r>
            <w:r w:rsidR="001F5716">
              <w:rPr>
                <w:noProof/>
                <w:webHidden/>
              </w:rPr>
            </w:r>
            <w:r w:rsidR="001F5716">
              <w:rPr>
                <w:noProof/>
                <w:webHidden/>
              </w:rPr>
              <w:fldChar w:fldCharType="separate"/>
            </w:r>
            <w:r w:rsidR="00867E9F">
              <w:rPr>
                <w:noProof/>
                <w:webHidden/>
              </w:rPr>
              <w:t>8</w:t>
            </w:r>
            <w:r w:rsidR="001F5716">
              <w:rPr>
                <w:noProof/>
                <w:webHidden/>
              </w:rPr>
              <w:fldChar w:fldCharType="end"/>
            </w:r>
          </w:hyperlink>
        </w:p>
        <w:p w14:paraId="2935C7EE" w14:textId="44831760" w:rsidR="001F5716" w:rsidRPr="001F5716" w:rsidRDefault="00101080">
          <w:pPr>
            <w:pStyle w:val="TOC2"/>
            <w:tabs>
              <w:tab w:val="right" w:leader="dot" w:pos="9063"/>
            </w:tabs>
            <w:rPr>
              <w:noProof/>
            </w:rPr>
          </w:pPr>
          <w:hyperlink w:anchor="_Toc93393176" w:history="1">
            <w:r w:rsidR="001F5716" w:rsidRPr="001F5716">
              <w:rPr>
                <w:rStyle w:val="Hyperlink"/>
                <w:noProof/>
              </w:rPr>
              <w:t>3.1. Savings in annual primary energy consumption</w:t>
            </w:r>
            <w:r w:rsidR="001F5716" w:rsidRPr="001F5716">
              <w:rPr>
                <w:noProof/>
                <w:webHidden/>
              </w:rPr>
              <w:tab/>
            </w:r>
            <w:r w:rsidR="001F5716" w:rsidRPr="001F5716">
              <w:rPr>
                <w:noProof/>
                <w:webHidden/>
              </w:rPr>
              <w:fldChar w:fldCharType="begin"/>
            </w:r>
            <w:r w:rsidR="001F5716" w:rsidRPr="001F5716">
              <w:rPr>
                <w:noProof/>
                <w:webHidden/>
              </w:rPr>
              <w:instrText xml:space="preserve"> PAGEREF _Toc93393176 \h </w:instrText>
            </w:r>
            <w:r w:rsidR="001F5716" w:rsidRPr="001F5716">
              <w:rPr>
                <w:noProof/>
                <w:webHidden/>
              </w:rPr>
            </w:r>
            <w:r w:rsidR="001F5716" w:rsidRPr="001F5716">
              <w:rPr>
                <w:noProof/>
                <w:webHidden/>
              </w:rPr>
              <w:fldChar w:fldCharType="separate"/>
            </w:r>
            <w:r w:rsidR="00867E9F">
              <w:rPr>
                <w:noProof/>
                <w:webHidden/>
              </w:rPr>
              <w:t>8</w:t>
            </w:r>
            <w:r w:rsidR="001F5716" w:rsidRPr="001F5716">
              <w:rPr>
                <w:noProof/>
                <w:webHidden/>
              </w:rPr>
              <w:fldChar w:fldCharType="end"/>
            </w:r>
          </w:hyperlink>
        </w:p>
        <w:p w14:paraId="0F43B454" w14:textId="3A5BBEF9" w:rsidR="001F5716" w:rsidRPr="001F5716" w:rsidRDefault="00101080">
          <w:pPr>
            <w:pStyle w:val="TOC2"/>
            <w:tabs>
              <w:tab w:val="right" w:leader="dot" w:pos="9063"/>
            </w:tabs>
            <w:rPr>
              <w:noProof/>
            </w:rPr>
          </w:pPr>
          <w:hyperlink w:anchor="_Toc93393177" w:history="1">
            <w:r w:rsidR="001F5716" w:rsidRPr="001F5716">
              <w:rPr>
                <w:rStyle w:val="Hyperlink"/>
                <w:noProof/>
              </w:rPr>
              <w:t>3.2. Additional operational capacity installed for renewable energy</w:t>
            </w:r>
            <w:r w:rsidR="001F5716" w:rsidRPr="001F5716">
              <w:rPr>
                <w:noProof/>
                <w:webHidden/>
              </w:rPr>
              <w:tab/>
            </w:r>
            <w:r w:rsidR="001F5716" w:rsidRPr="001F5716">
              <w:rPr>
                <w:noProof/>
                <w:webHidden/>
              </w:rPr>
              <w:fldChar w:fldCharType="begin"/>
            </w:r>
            <w:r w:rsidR="001F5716" w:rsidRPr="001F5716">
              <w:rPr>
                <w:noProof/>
                <w:webHidden/>
              </w:rPr>
              <w:instrText xml:space="preserve"> PAGEREF _Toc93393177 \h </w:instrText>
            </w:r>
            <w:r w:rsidR="001F5716" w:rsidRPr="001F5716">
              <w:rPr>
                <w:noProof/>
                <w:webHidden/>
              </w:rPr>
            </w:r>
            <w:r w:rsidR="001F5716" w:rsidRPr="001F5716">
              <w:rPr>
                <w:noProof/>
                <w:webHidden/>
              </w:rPr>
              <w:fldChar w:fldCharType="separate"/>
            </w:r>
            <w:r w:rsidR="00867E9F">
              <w:rPr>
                <w:noProof/>
                <w:webHidden/>
              </w:rPr>
              <w:t>10</w:t>
            </w:r>
            <w:r w:rsidR="001F5716" w:rsidRPr="001F5716">
              <w:rPr>
                <w:noProof/>
                <w:webHidden/>
              </w:rPr>
              <w:fldChar w:fldCharType="end"/>
            </w:r>
          </w:hyperlink>
        </w:p>
        <w:p w14:paraId="3369BD34" w14:textId="3CD8F0EC" w:rsidR="001F5716" w:rsidRPr="001F5716" w:rsidRDefault="00101080">
          <w:pPr>
            <w:pStyle w:val="TOC2"/>
            <w:tabs>
              <w:tab w:val="right" w:leader="dot" w:pos="9063"/>
            </w:tabs>
            <w:rPr>
              <w:noProof/>
            </w:rPr>
          </w:pPr>
          <w:hyperlink w:anchor="_Toc93393178" w:history="1">
            <w:r w:rsidR="001F5716" w:rsidRPr="001F5716">
              <w:rPr>
                <w:rStyle w:val="Hyperlink"/>
                <w:noProof/>
              </w:rPr>
              <w:t>3.3. Alternative fuels infrastructure (refuelling/recharging points)</w:t>
            </w:r>
            <w:r w:rsidR="001F5716" w:rsidRPr="001F5716">
              <w:rPr>
                <w:noProof/>
                <w:webHidden/>
              </w:rPr>
              <w:tab/>
            </w:r>
            <w:r w:rsidR="001F5716" w:rsidRPr="001F5716">
              <w:rPr>
                <w:noProof/>
                <w:webHidden/>
              </w:rPr>
              <w:fldChar w:fldCharType="begin"/>
            </w:r>
            <w:r w:rsidR="001F5716" w:rsidRPr="001F5716">
              <w:rPr>
                <w:noProof/>
                <w:webHidden/>
              </w:rPr>
              <w:instrText xml:space="preserve"> PAGEREF _Toc93393178 \h </w:instrText>
            </w:r>
            <w:r w:rsidR="001F5716" w:rsidRPr="001F5716">
              <w:rPr>
                <w:noProof/>
                <w:webHidden/>
              </w:rPr>
            </w:r>
            <w:r w:rsidR="001F5716" w:rsidRPr="001F5716">
              <w:rPr>
                <w:noProof/>
                <w:webHidden/>
              </w:rPr>
              <w:fldChar w:fldCharType="separate"/>
            </w:r>
            <w:r w:rsidR="00867E9F">
              <w:rPr>
                <w:noProof/>
                <w:webHidden/>
              </w:rPr>
              <w:t>12</w:t>
            </w:r>
            <w:r w:rsidR="001F5716" w:rsidRPr="001F5716">
              <w:rPr>
                <w:noProof/>
                <w:webHidden/>
              </w:rPr>
              <w:fldChar w:fldCharType="end"/>
            </w:r>
          </w:hyperlink>
        </w:p>
        <w:p w14:paraId="7A8C40B0" w14:textId="215B5AD6" w:rsidR="001F5716" w:rsidRPr="001F5716" w:rsidRDefault="00101080">
          <w:pPr>
            <w:pStyle w:val="TOC2"/>
            <w:tabs>
              <w:tab w:val="right" w:leader="dot" w:pos="9063"/>
            </w:tabs>
            <w:rPr>
              <w:noProof/>
            </w:rPr>
          </w:pPr>
          <w:hyperlink w:anchor="_Toc93393179" w:history="1">
            <w:r w:rsidR="001F5716" w:rsidRPr="001F5716">
              <w:rPr>
                <w:rStyle w:val="Hyperlink"/>
                <w:noProof/>
              </w:rPr>
              <w:t>3.4. Population benefiting from protection measures against floods, wildfires, and other climate related natural disasters</w:t>
            </w:r>
            <w:r w:rsidR="001F5716" w:rsidRPr="001F5716">
              <w:rPr>
                <w:noProof/>
                <w:webHidden/>
              </w:rPr>
              <w:tab/>
            </w:r>
            <w:r w:rsidR="001F5716" w:rsidRPr="001F5716">
              <w:rPr>
                <w:noProof/>
                <w:webHidden/>
              </w:rPr>
              <w:fldChar w:fldCharType="begin"/>
            </w:r>
            <w:r w:rsidR="001F5716" w:rsidRPr="001F5716">
              <w:rPr>
                <w:noProof/>
                <w:webHidden/>
              </w:rPr>
              <w:instrText xml:space="preserve"> PAGEREF _Toc93393179 \h </w:instrText>
            </w:r>
            <w:r w:rsidR="001F5716" w:rsidRPr="001F5716">
              <w:rPr>
                <w:noProof/>
                <w:webHidden/>
              </w:rPr>
            </w:r>
            <w:r w:rsidR="001F5716" w:rsidRPr="001F5716">
              <w:rPr>
                <w:noProof/>
                <w:webHidden/>
              </w:rPr>
              <w:fldChar w:fldCharType="separate"/>
            </w:r>
            <w:r w:rsidR="00867E9F">
              <w:rPr>
                <w:noProof/>
                <w:webHidden/>
              </w:rPr>
              <w:t>13</w:t>
            </w:r>
            <w:r w:rsidR="001F5716" w:rsidRPr="001F5716">
              <w:rPr>
                <w:noProof/>
                <w:webHidden/>
              </w:rPr>
              <w:fldChar w:fldCharType="end"/>
            </w:r>
          </w:hyperlink>
        </w:p>
        <w:p w14:paraId="719AA71B" w14:textId="6CE6F5C8" w:rsidR="001F5716" w:rsidRPr="001F5716" w:rsidRDefault="00101080">
          <w:pPr>
            <w:pStyle w:val="TOC2"/>
            <w:tabs>
              <w:tab w:val="right" w:leader="dot" w:pos="9063"/>
            </w:tabs>
            <w:rPr>
              <w:noProof/>
            </w:rPr>
          </w:pPr>
          <w:hyperlink w:anchor="_Toc93393180" w:history="1">
            <w:r w:rsidR="001F5716" w:rsidRPr="001F5716">
              <w:rPr>
                <w:rStyle w:val="Hyperlink"/>
                <w:noProof/>
              </w:rPr>
              <w:t xml:space="preserve">3.5. </w:t>
            </w:r>
            <w:r w:rsidR="001F5716" w:rsidRPr="001F5716">
              <w:rPr>
                <w:rStyle w:val="Hyperlink"/>
                <w:bCs/>
                <w:noProof/>
              </w:rPr>
              <w:t>Additional dwellings with internet access provided via very high capacity networks</w:t>
            </w:r>
            <w:r w:rsidR="001F5716" w:rsidRPr="001F5716">
              <w:rPr>
                <w:noProof/>
                <w:webHidden/>
              </w:rPr>
              <w:tab/>
            </w:r>
            <w:r w:rsidR="001F5716" w:rsidRPr="001F5716">
              <w:rPr>
                <w:noProof/>
                <w:webHidden/>
              </w:rPr>
              <w:fldChar w:fldCharType="begin"/>
            </w:r>
            <w:r w:rsidR="001F5716" w:rsidRPr="001F5716">
              <w:rPr>
                <w:noProof/>
                <w:webHidden/>
              </w:rPr>
              <w:instrText xml:space="preserve"> PAGEREF _Toc93393180 \h </w:instrText>
            </w:r>
            <w:r w:rsidR="001F5716" w:rsidRPr="001F5716">
              <w:rPr>
                <w:noProof/>
                <w:webHidden/>
              </w:rPr>
            </w:r>
            <w:r w:rsidR="001F5716" w:rsidRPr="001F5716">
              <w:rPr>
                <w:noProof/>
                <w:webHidden/>
              </w:rPr>
              <w:fldChar w:fldCharType="separate"/>
            </w:r>
            <w:r w:rsidR="00867E9F">
              <w:rPr>
                <w:noProof/>
                <w:webHidden/>
              </w:rPr>
              <w:t>15</w:t>
            </w:r>
            <w:r w:rsidR="001F5716" w:rsidRPr="001F5716">
              <w:rPr>
                <w:noProof/>
                <w:webHidden/>
              </w:rPr>
              <w:fldChar w:fldCharType="end"/>
            </w:r>
          </w:hyperlink>
        </w:p>
        <w:p w14:paraId="5509AAB9" w14:textId="289ACCA3" w:rsidR="001F5716" w:rsidRPr="001F5716" w:rsidRDefault="00101080">
          <w:pPr>
            <w:pStyle w:val="TOC2"/>
            <w:tabs>
              <w:tab w:val="right" w:leader="dot" w:pos="9063"/>
            </w:tabs>
            <w:rPr>
              <w:noProof/>
            </w:rPr>
          </w:pPr>
          <w:hyperlink w:anchor="_Toc93393181" w:history="1">
            <w:r w:rsidR="001F5716" w:rsidRPr="001F5716">
              <w:rPr>
                <w:rStyle w:val="Hyperlink"/>
                <w:noProof/>
              </w:rPr>
              <w:t>3.6. Enterprises supported to develop or adopt digital products, services and application processes</w:t>
            </w:r>
            <w:r w:rsidR="001F5716" w:rsidRPr="001F5716">
              <w:rPr>
                <w:noProof/>
                <w:webHidden/>
              </w:rPr>
              <w:tab/>
            </w:r>
            <w:r w:rsidR="001F5716" w:rsidRPr="001F5716">
              <w:rPr>
                <w:noProof/>
                <w:webHidden/>
              </w:rPr>
              <w:fldChar w:fldCharType="begin"/>
            </w:r>
            <w:r w:rsidR="001F5716" w:rsidRPr="001F5716">
              <w:rPr>
                <w:noProof/>
                <w:webHidden/>
              </w:rPr>
              <w:instrText xml:space="preserve"> PAGEREF _Toc93393181 \h </w:instrText>
            </w:r>
            <w:r w:rsidR="001F5716" w:rsidRPr="001F5716">
              <w:rPr>
                <w:noProof/>
                <w:webHidden/>
              </w:rPr>
            </w:r>
            <w:r w:rsidR="001F5716" w:rsidRPr="001F5716">
              <w:rPr>
                <w:noProof/>
                <w:webHidden/>
              </w:rPr>
              <w:fldChar w:fldCharType="separate"/>
            </w:r>
            <w:r w:rsidR="00867E9F">
              <w:rPr>
                <w:noProof/>
                <w:webHidden/>
              </w:rPr>
              <w:t>17</w:t>
            </w:r>
            <w:r w:rsidR="001F5716" w:rsidRPr="001F5716">
              <w:rPr>
                <w:noProof/>
                <w:webHidden/>
              </w:rPr>
              <w:fldChar w:fldCharType="end"/>
            </w:r>
          </w:hyperlink>
        </w:p>
        <w:p w14:paraId="6EE7550B" w14:textId="5CFC70C2" w:rsidR="001F5716" w:rsidRPr="001F5716" w:rsidRDefault="00101080">
          <w:pPr>
            <w:pStyle w:val="TOC2"/>
            <w:tabs>
              <w:tab w:val="right" w:leader="dot" w:pos="9063"/>
            </w:tabs>
            <w:rPr>
              <w:noProof/>
            </w:rPr>
          </w:pPr>
          <w:hyperlink w:anchor="_Toc93393182" w:history="1">
            <w:r w:rsidR="001F5716" w:rsidRPr="001F5716">
              <w:rPr>
                <w:rStyle w:val="Hyperlink"/>
                <w:noProof/>
              </w:rPr>
              <w:t>3.7. Users of new and upgraded public digital services, products and processes</w:t>
            </w:r>
            <w:r w:rsidR="001F5716" w:rsidRPr="001F5716">
              <w:rPr>
                <w:noProof/>
                <w:webHidden/>
              </w:rPr>
              <w:tab/>
            </w:r>
            <w:r w:rsidR="001F5716" w:rsidRPr="001F5716">
              <w:rPr>
                <w:noProof/>
                <w:webHidden/>
              </w:rPr>
              <w:fldChar w:fldCharType="begin"/>
            </w:r>
            <w:r w:rsidR="001F5716" w:rsidRPr="001F5716">
              <w:rPr>
                <w:noProof/>
                <w:webHidden/>
              </w:rPr>
              <w:instrText xml:space="preserve"> PAGEREF _Toc93393182 \h </w:instrText>
            </w:r>
            <w:r w:rsidR="001F5716" w:rsidRPr="001F5716">
              <w:rPr>
                <w:noProof/>
                <w:webHidden/>
              </w:rPr>
            </w:r>
            <w:r w:rsidR="001F5716" w:rsidRPr="001F5716">
              <w:rPr>
                <w:noProof/>
                <w:webHidden/>
              </w:rPr>
              <w:fldChar w:fldCharType="separate"/>
            </w:r>
            <w:r w:rsidR="00867E9F">
              <w:rPr>
                <w:noProof/>
                <w:webHidden/>
              </w:rPr>
              <w:t>18</w:t>
            </w:r>
            <w:r w:rsidR="001F5716" w:rsidRPr="001F5716">
              <w:rPr>
                <w:noProof/>
                <w:webHidden/>
              </w:rPr>
              <w:fldChar w:fldCharType="end"/>
            </w:r>
          </w:hyperlink>
        </w:p>
        <w:p w14:paraId="3BB67F08" w14:textId="25D4C35B" w:rsidR="001F5716" w:rsidRPr="001F5716" w:rsidRDefault="00101080">
          <w:pPr>
            <w:pStyle w:val="TOC2"/>
            <w:tabs>
              <w:tab w:val="right" w:leader="dot" w:pos="9063"/>
            </w:tabs>
            <w:rPr>
              <w:noProof/>
            </w:rPr>
          </w:pPr>
          <w:hyperlink w:anchor="_Toc93393183" w:history="1">
            <w:r w:rsidR="001F5716" w:rsidRPr="001F5716">
              <w:rPr>
                <w:rStyle w:val="Hyperlink"/>
                <w:noProof/>
              </w:rPr>
              <w:t>3.8. Researchers working in supported research facilities</w:t>
            </w:r>
            <w:r w:rsidR="001F5716" w:rsidRPr="001F5716">
              <w:rPr>
                <w:noProof/>
                <w:webHidden/>
              </w:rPr>
              <w:tab/>
            </w:r>
            <w:r w:rsidR="001F5716" w:rsidRPr="001F5716">
              <w:rPr>
                <w:noProof/>
                <w:webHidden/>
              </w:rPr>
              <w:fldChar w:fldCharType="begin"/>
            </w:r>
            <w:r w:rsidR="001F5716" w:rsidRPr="001F5716">
              <w:rPr>
                <w:noProof/>
                <w:webHidden/>
              </w:rPr>
              <w:instrText xml:space="preserve"> PAGEREF _Toc93393183 \h </w:instrText>
            </w:r>
            <w:r w:rsidR="001F5716" w:rsidRPr="001F5716">
              <w:rPr>
                <w:noProof/>
                <w:webHidden/>
              </w:rPr>
            </w:r>
            <w:r w:rsidR="001F5716" w:rsidRPr="001F5716">
              <w:rPr>
                <w:noProof/>
                <w:webHidden/>
              </w:rPr>
              <w:fldChar w:fldCharType="separate"/>
            </w:r>
            <w:r w:rsidR="00867E9F">
              <w:rPr>
                <w:noProof/>
                <w:webHidden/>
              </w:rPr>
              <w:t>19</w:t>
            </w:r>
            <w:r w:rsidR="001F5716" w:rsidRPr="001F5716">
              <w:rPr>
                <w:noProof/>
                <w:webHidden/>
              </w:rPr>
              <w:fldChar w:fldCharType="end"/>
            </w:r>
          </w:hyperlink>
        </w:p>
        <w:p w14:paraId="63342F72" w14:textId="23189FD2" w:rsidR="001F5716" w:rsidRPr="001F5716" w:rsidRDefault="00101080">
          <w:pPr>
            <w:pStyle w:val="TOC2"/>
            <w:tabs>
              <w:tab w:val="right" w:leader="dot" w:pos="9063"/>
            </w:tabs>
            <w:rPr>
              <w:noProof/>
            </w:rPr>
          </w:pPr>
          <w:hyperlink w:anchor="_Toc93393184" w:history="1">
            <w:r w:rsidR="001F5716" w:rsidRPr="001F5716">
              <w:rPr>
                <w:rStyle w:val="Hyperlink"/>
                <w:noProof/>
              </w:rPr>
              <w:t>3.9. Enterprises supported (of which small – including micro, medium, large)</w:t>
            </w:r>
            <w:r w:rsidR="001F5716" w:rsidRPr="001F5716">
              <w:rPr>
                <w:noProof/>
                <w:webHidden/>
              </w:rPr>
              <w:tab/>
            </w:r>
            <w:r w:rsidR="001F5716" w:rsidRPr="001F5716">
              <w:rPr>
                <w:noProof/>
                <w:webHidden/>
              </w:rPr>
              <w:fldChar w:fldCharType="begin"/>
            </w:r>
            <w:r w:rsidR="001F5716" w:rsidRPr="001F5716">
              <w:rPr>
                <w:noProof/>
                <w:webHidden/>
              </w:rPr>
              <w:instrText xml:space="preserve"> PAGEREF _Toc93393184 \h </w:instrText>
            </w:r>
            <w:r w:rsidR="001F5716" w:rsidRPr="001F5716">
              <w:rPr>
                <w:noProof/>
                <w:webHidden/>
              </w:rPr>
            </w:r>
            <w:r w:rsidR="001F5716" w:rsidRPr="001F5716">
              <w:rPr>
                <w:noProof/>
                <w:webHidden/>
              </w:rPr>
              <w:fldChar w:fldCharType="separate"/>
            </w:r>
            <w:r w:rsidR="00867E9F">
              <w:rPr>
                <w:noProof/>
                <w:webHidden/>
              </w:rPr>
              <w:t>20</w:t>
            </w:r>
            <w:r w:rsidR="001F5716" w:rsidRPr="001F5716">
              <w:rPr>
                <w:noProof/>
                <w:webHidden/>
              </w:rPr>
              <w:fldChar w:fldCharType="end"/>
            </w:r>
          </w:hyperlink>
        </w:p>
        <w:p w14:paraId="640D0493" w14:textId="68520437" w:rsidR="001F5716" w:rsidRPr="001F5716" w:rsidRDefault="00101080">
          <w:pPr>
            <w:pStyle w:val="TOC2"/>
            <w:tabs>
              <w:tab w:val="right" w:leader="dot" w:pos="9063"/>
            </w:tabs>
            <w:rPr>
              <w:noProof/>
            </w:rPr>
          </w:pPr>
          <w:hyperlink w:anchor="_Toc93393185" w:history="1">
            <w:r w:rsidR="001F5716" w:rsidRPr="001F5716">
              <w:rPr>
                <w:rStyle w:val="Hyperlink"/>
                <w:noProof/>
              </w:rPr>
              <w:t>3.10. Number of participants in education or training</w:t>
            </w:r>
            <w:r w:rsidR="001F5716" w:rsidRPr="001F5716">
              <w:rPr>
                <w:noProof/>
                <w:webHidden/>
              </w:rPr>
              <w:tab/>
            </w:r>
            <w:r w:rsidR="001F5716" w:rsidRPr="001F5716">
              <w:rPr>
                <w:noProof/>
                <w:webHidden/>
              </w:rPr>
              <w:fldChar w:fldCharType="begin"/>
            </w:r>
            <w:r w:rsidR="001F5716" w:rsidRPr="001F5716">
              <w:rPr>
                <w:noProof/>
                <w:webHidden/>
              </w:rPr>
              <w:instrText xml:space="preserve"> PAGEREF _Toc93393185 \h </w:instrText>
            </w:r>
            <w:r w:rsidR="001F5716" w:rsidRPr="001F5716">
              <w:rPr>
                <w:noProof/>
                <w:webHidden/>
              </w:rPr>
            </w:r>
            <w:r w:rsidR="001F5716" w:rsidRPr="001F5716">
              <w:rPr>
                <w:noProof/>
                <w:webHidden/>
              </w:rPr>
              <w:fldChar w:fldCharType="separate"/>
            </w:r>
            <w:r w:rsidR="00867E9F">
              <w:rPr>
                <w:noProof/>
                <w:webHidden/>
              </w:rPr>
              <w:t>21</w:t>
            </w:r>
            <w:r w:rsidR="001F5716" w:rsidRPr="001F5716">
              <w:rPr>
                <w:noProof/>
                <w:webHidden/>
              </w:rPr>
              <w:fldChar w:fldCharType="end"/>
            </w:r>
          </w:hyperlink>
        </w:p>
        <w:p w14:paraId="62756546" w14:textId="05BE12C7" w:rsidR="001F5716" w:rsidRPr="001F5716" w:rsidRDefault="00101080">
          <w:pPr>
            <w:pStyle w:val="TOC2"/>
            <w:tabs>
              <w:tab w:val="right" w:leader="dot" w:pos="9063"/>
            </w:tabs>
            <w:rPr>
              <w:noProof/>
            </w:rPr>
          </w:pPr>
          <w:hyperlink w:anchor="_Toc93393186" w:history="1">
            <w:r w:rsidR="001F5716" w:rsidRPr="001F5716">
              <w:rPr>
                <w:rStyle w:val="Hyperlink"/>
                <w:noProof/>
              </w:rPr>
              <w:t>3.11. Number of people in employment or engaged in job searching activities</w:t>
            </w:r>
            <w:r w:rsidR="001F5716" w:rsidRPr="001F5716">
              <w:rPr>
                <w:noProof/>
                <w:webHidden/>
              </w:rPr>
              <w:tab/>
            </w:r>
            <w:r w:rsidR="001F5716" w:rsidRPr="001F5716">
              <w:rPr>
                <w:noProof/>
                <w:webHidden/>
              </w:rPr>
              <w:fldChar w:fldCharType="begin"/>
            </w:r>
            <w:r w:rsidR="001F5716" w:rsidRPr="001F5716">
              <w:rPr>
                <w:noProof/>
                <w:webHidden/>
              </w:rPr>
              <w:instrText xml:space="preserve"> PAGEREF _Toc93393186 \h </w:instrText>
            </w:r>
            <w:r w:rsidR="001F5716" w:rsidRPr="001F5716">
              <w:rPr>
                <w:noProof/>
                <w:webHidden/>
              </w:rPr>
            </w:r>
            <w:r w:rsidR="001F5716" w:rsidRPr="001F5716">
              <w:rPr>
                <w:noProof/>
                <w:webHidden/>
              </w:rPr>
              <w:fldChar w:fldCharType="separate"/>
            </w:r>
            <w:r w:rsidR="00867E9F">
              <w:rPr>
                <w:noProof/>
                <w:webHidden/>
              </w:rPr>
              <w:t>23</w:t>
            </w:r>
            <w:r w:rsidR="001F5716" w:rsidRPr="001F5716">
              <w:rPr>
                <w:noProof/>
                <w:webHidden/>
              </w:rPr>
              <w:fldChar w:fldCharType="end"/>
            </w:r>
          </w:hyperlink>
        </w:p>
        <w:p w14:paraId="4CBB2185" w14:textId="0BB2F7D2" w:rsidR="001F5716" w:rsidRPr="001F5716" w:rsidRDefault="00101080">
          <w:pPr>
            <w:pStyle w:val="TOC2"/>
            <w:tabs>
              <w:tab w:val="right" w:leader="dot" w:pos="9063"/>
            </w:tabs>
            <w:rPr>
              <w:noProof/>
            </w:rPr>
          </w:pPr>
          <w:hyperlink w:anchor="_Toc93393187" w:history="1">
            <w:r w:rsidR="001F5716" w:rsidRPr="001F5716">
              <w:rPr>
                <w:rStyle w:val="Hyperlink"/>
                <w:noProof/>
              </w:rPr>
              <w:t>3.12. Capacity of new or modernised health care facilities</w:t>
            </w:r>
            <w:r w:rsidR="001F5716" w:rsidRPr="001F5716">
              <w:rPr>
                <w:noProof/>
                <w:webHidden/>
              </w:rPr>
              <w:tab/>
            </w:r>
            <w:r w:rsidR="001F5716" w:rsidRPr="001F5716">
              <w:rPr>
                <w:noProof/>
                <w:webHidden/>
              </w:rPr>
              <w:fldChar w:fldCharType="begin"/>
            </w:r>
            <w:r w:rsidR="001F5716" w:rsidRPr="001F5716">
              <w:rPr>
                <w:noProof/>
                <w:webHidden/>
              </w:rPr>
              <w:instrText xml:space="preserve"> PAGEREF _Toc93393187 \h </w:instrText>
            </w:r>
            <w:r w:rsidR="001F5716" w:rsidRPr="001F5716">
              <w:rPr>
                <w:noProof/>
                <w:webHidden/>
              </w:rPr>
            </w:r>
            <w:r w:rsidR="001F5716" w:rsidRPr="001F5716">
              <w:rPr>
                <w:noProof/>
                <w:webHidden/>
              </w:rPr>
              <w:fldChar w:fldCharType="separate"/>
            </w:r>
            <w:r w:rsidR="00867E9F">
              <w:rPr>
                <w:noProof/>
                <w:webHidden/>
              </w:rPr>
              <w:t>25</w:t>
            </w:r>
            <w:r w:rsidR="001F5716" w:rsidRPr="001F5716">
              <w:rPr>
                <w:noProof/>
                <w:webHidden/>
              </w:rPr>
              <w:fldChar w:fldCharType="end"/>
            </w:r>
          </w:hyperlink>
        </w:p>
        <w:p w14:paraId="4201C528" w14:textId="23008D29" w:rsidR="001F5716" w:rsidRPr="001F5716" w:rsidRDefault="00101080">
          <w:pPr>
            <w:pStyle w:val="TOC2"/>
            <w:tabs>
              <w:tab w:val="right" w:leader="dot" w:pos="9063"/>
            </w:tabs>
            <w:rPr>
              <w:noProof/>
            </w:rPr>
          </w:pPr>
          <w:hyperlink w:anchor="_Toc93393188" w:history="1">
            <w:r w:rsidR="001F5716" w:rsidRPr="001F5716">
              <w:rPr>
                <w:rStyle w:val="Hyperlink"/>
                <w:noProof/>
              </w:rPr>
              <w:t>3.13. Classroom capacity of new or modernised childcare and education facilities</w:t>
            </w:r>
            <w:r w:rsidR="001F5716" w:rsidRPr="001F5716">
              <w:rPr>
                <w:noProof/>
                <w:webHidden/>
              </w:rPr>
              <w:tab/>
            </w:r>
            <w:r w:rsidR="001F5716" w:rsidRPr="001F5716">
              <w:rPr>
                <w:noProof/>
                <w:webHidden/>
              </w:rPr>
              <w:fldChar w:fldCharType="begin"/>
            </w:r>
            <w:r w:rsidR="001F5716" w:rsidRPr="001F5716">
              <w:rPr>
                <w:noProof/>
                <w:webHidden/>
              </w:rPr>
              <w:instrText xml:space="preserve"> PAGEREF _Toc93393188 \h </w:instrText>
            </w:r>
            <w:r w:rsidR="001F5716" w:rsidRPr="001F5716">
              <w:rPr>
                <w:noProof/>
                <w:webHidden/>
              </w:rPr>
            </w:r>
            <w:r w:rsidR="001F5716" w:rsidRPr="001F5716">
              <w:rPr>
                <w:noProof/>
                <w:webHidden/>
              </w:rPr>
              <w:fldChar w:fldCharType="separate"/>
            </w:r>
            <w:r w:rsidR="00867E9F">
              <w:rPr>
                <w:noProof/>
                <w:webHidden/>
              </w:rPr>
              <w:t>26</w:t>
            </w:r>
            <w:r w:rsidR="001F5716" w:rsidRPr="001F5716">
              <w:rPr>
                <w:noProof/>
                <w:webHidden/>
              </w:rPr>
              <w:fldChar w:fldCharType="end"/>
            </w:r>
          </w:hyperlink>
        </w:p>
        <w:p w14:paraId="58F56134" w14:textId="551DA914" w:rsidR="001F5716" w:rsidRPr="001F5716" w:rsidRDefault="00101080">
          <w:pPr>
            <w:pStyle w:val="TOC2"/>
            <w:tabs>
              <w:tab w:val="right" w:leader="dot" w:pos="9063"/>
            </w:tabs>
            <w:rPr>
              <w:noProof/>
            </w:rPr>
          </w:pPr>
          <w:hyperlink w:anchor="_Toc93393189" w:history="1">
            <w:r w:rsidR="001F5716" w:rsidRPr="001F5716">
              <w:rPr>
                <w:rStyle w:val="Hyperlink"/>
                <w:noProof/>
              </w:rPr>
              <w:t>3.14. Number of young people aged 15-29 receiving support</w:t>
            </w:r>
            <w:r w:rsidR="001F5716" w:rsidRPr="001F5716">
              <w:rPr>
                <w:noProof/>
                <w:webHidden/>
              </w:rPr>
              <w:tab/>
            </w:r>
            <w:r w:rsidR="001F5716" w:rsidRPr="001F5716">
              <w:rPr>
                <w:noProof/>
                <w:webHidden/>
              </w:rPr>
              <w:fldChar w:fldCharType="begin"/>
            </w:r>
            <w:r w:rsidR="001F5716" w:rsidRPr="001F5716">
              <w:rPr>
                <w:noProof/>
                <w:webHidden/>
              </w:rPr>
              <w:instrText xml:space="preserve"> PAGEREF _Toc93393189 \h </w:instrText>
            </w:r>
            <w:r w:rsidR="001F5716" w:rsidRPr="001F5716">
              <w:rPr>
                <w:noProof/>
                <w:webHidden/>
              </w:rPr>
            </w:r>
            <w:r w:rsidR="001F5716" w:rsidRPr="001F5716">
              <w:rPr>
                <w:noProof/>
                <w:webHidden/>
              </w:rPr>
              <w:fldChar w:fldCharType="separate"/>
            </w:r>
            <w:r w:rsidR="00867E9F">
              <w:rPr>
                <w:noProof/>
                <w:webHidden/>
              </w:rPr>
              <w:t>28</w:t>
            </w:r>
            <w:r w:rsidR="001F5716" w:rsidRPr="001F5716">
              <w:rPr>
                <w:noProof/>
                <w:webHidden/>
              </w:rPr>
              <w:fldChar w:fldCharType="end"/>
            </w:r>
          </w:hyperlink>
        </w:p>
        <w:p w14:paraId="123119DC" w14:textId="5A15F4B2" w:rsidR="001F5716" w:rsidRDefault="001F5716">
          <w:r>
            <w:rPr>
              <w:b/>
              <w:bCs/>
              <w:noProof/>
            </w:rPr>
            <w:fldChar w:fldCharType="end"/>
          </w:r>
        </w:p>
      </w:sdtContent>
    </w:sdt>
    <w:p w14:paraId="180BA1AC" w14:textId="0B359121" w:rsidR="001F5716" w:rsidRDefault="001F5716" w:rsidP="001F5716">
      <w:r>
        <w:br w:type="page"/>
      </w:r>
    </w:p>
    <w:p w14:paraId="56831958" w14:textId="5E4F01F9" w:rsidR="00FB64C0" w:rsidRPr="00255291" w:rsidRDefault="00FB64C0" w:rsidP="00A458BC">
      <w:pPr>
        <w:pStyle w:val="Heading1"/>
        <w:numPr>
          <w:ilvl w:val="0"/>
          <w:numId w:val="43"/>
        </w:numPr>
        <w:rPr>
          <w:rFonts w:ascii="Times New Roman" w:hAnsi="Times New Roman" w:cs="Times New Roman"/>
          <w:b/>
          <w:bCs/>
          <w:color w:val="auto"/>
          <w:u w:val="single"/>
        </w:rPr>
      </w:pPr>
      <w:bookmarkStart w:id="1" w:name="_Toc93393168"/>
      <w:r w:rsidRPr="00255291">
        <w:rPr>
          <w:rFonts w:ascii="Times New Roman" w:hAnsi="Times New Roman" w:cs="Times New Roman"/>
          <w:b/>
          <w:bCs/>
          <w:color w:val="auto"/>
          <w:u w:val="single"/>
        </w:rPr>
        <w:lastRenderedPageBreak/>
        <w:t>General principles</w:t>
      </w:r>
      <w:bookmarkEnd w:id="1"/>
    </w:p>
    <w:p w14:paraId="5A55188B" w14:textId="771E336E" w:rsidR="00080E9F" w:rsidRDefault="005B71AE" w:rsidP="007C1076">
      <w:pPr>
        <w:rPr>
          <w:b/>
        </w:rPr>
      </w:pPr>
      <w:r w:rsidRPr="00255291">
        <w:t xml:space="preserve">All data for the indicators must be collected from </w:t>
      </w:r>
      <w:r w:rsidRPr="00255291">
        <w:rPr>
          <w:b/>
        </w:rPr>
        <w:t>reforms and investments supported by the Facility</w:t>
      </w:r>
      <w:r w:rsidRPr="00255291">
        <w:t>.</w:t>
      </w:r>
      <w:r w:rsidR="006B5486" w:rsidRPr="00255291">
        <w:rPr>
          <w:b/>
        </w:rPr>
        <w:t xml:space="preserve"> </w:t>
      </w:r>
      <w:r w:rsidR="00080E9F">
        <w:rPr>
          <w:b/>
        </w:rPr>
        <w:t>This concerns all reforms and investments included in the approved recovery and resilience plans</w:t>
      </w:r>
      <w:r w:rsidR="00080E9F" w:rsidRPr="00613EC9">
        <w:t>, irrespective of</w:t>
      </w:r>
      <w:r w:rsidR="00D461CF">
        <w:t xml:space="preserve"> whether</w:t>
      </w:r>
      <w:r w:rsidR="00080E9F" w:rsidRPr="00613EC9">
        <w:t xml:space="preserve"> they are partly or fully financed by the RRF.</w:t>
      </w:r>
      <w:r w:rsidR="00080E9F">
        <w:rPr>
          <w:b/>
        </w:rPr>
        <w:t xml:space="preserve"> </w:t>
      </w:r>
    </w:p>
    <w:p w14:paraId="40379775" w14:textId="609B3FDC" w:rsidR="00080E9F" w:rsidRDefault="00E52B83" w:rsidP="007C1076">
      <w:r w:rsidRPr="00255291">
        <w:rPr>
          <w:b/>
        </w:rPr>
        <w:t>The common indicators will reflect the progress towards the objectives of the Facility</w:t>
      </w:r>
      <w:r w:rsidRPr="00255291">
        <w:t xml:space="preserve"> under the reforms and investments included in the recovery and resilience plans (RRPs).</w:t>
      </w:r>
      <w:r w:rsidRPr="00255291">
        <w:rPr>
          <w:b/>
          <w:bCs/>
        </w:rPr>
        <w:t xml:space="preserve"> </w:t>
      </w:r>
      <w:r w:rsidRPr="00255291">
        <w:t>A measure can contribute to several common indicators</w:t>
      </w:r>
      <w:r w:rsidR="00080E9F">
        <w:t xml:space="preserve">, through </w:t>
      </w:r>
      <w:r w:rsidR="00332CAB">
        <w:t>all or some of the projects it includes</w:t>
      </w:r>
      <w:r w:rsidR="007403CD">
        <w:t>.</w:t>
      </w:r>
    </w:p>
    <w:p w14:paraId="7E70239A" w14:textId="12F4463F" w:rsidR="005B71AE" w:rsidRPr="00255291" w:rsidRDefault="00E52B83" w:rsidP="007C1076">
      <w:r w:rsidRPr="00255291">
        <w:t xml:space="preserve">A Member State does not have to report an indicator if none of the reforms and investments of its plan contribute to it.  These exceptional cases are agreed with the Commission in the operational arrangements.  </w:t>
      </w:r>
    </w:p>
    <w:p w14:paraId="2F12B498" w14:textId="53C0577F" w:rsidR="005B71AE" w:rsidRPr="00255291" w:rsidRDefault="005B71AE" w:rsidP="007C1076">
      <w:pPr>
        <w:rPr>
          <w:b/>
        </w:rPr>
      </w:pPr>
      <w:r w:rsidRPr="00255291">
        <w:rPr>
          <w:b/>
        </w:rPr>
        <w:t>The common indicators reported are generally consistent and coherent with those used for other EU funds</w:t>
      </w:r>
      <w:r w:rsidRPr="00255291">
        <w:t xml:space="preserve">. Some indicators are similar to the ones used in the context of the structural funds, and in such cases </w:t>
      </w:r>
      <w:r w:rsidRPr="00255291">
        <w:rPr>
          <w:b/>
        </w:rPr>
        <w:t>the same methodology shall be used by Member States</w:t>
      </w:r>
      <w:r w:rsidRPr="00255291">
        <w:t xml:space="preserve"> </w:t>
      </w:r>
      <w:r w:rsidRPr="00255291">
        <w:rPr>
          <w:b/>
        </w:rPr>
        <w:t>to collect and report</w:t>
      </w:r>
      <w:r w:rsidRPr="00255291">
        <w:t xml:space="preserve"> the data for the RRF</w:t>
      </w:r>
      <w:r w:rsidRPr="00255291">
        <w:rPr>
          <w:b/>
        </w:rPr>
        <w:t xml:space="preserve">. </w:t>
      </w:r>
    </w:p>
    <w:p w14:paraId="52265A5C" w14:textId="4B008030" w:rsidR="0024455D" w:rsidRPr="00255291" w:rsidRDefault="0024455D" w:rsidP="007C1076">
      <w:pPr>
        <w:rPr>
          <w:bCs/>
        </w:rPr>
      </w:pPr>
      <w:r w:rsidRPr="00255291">
        <w:rPr>
          <w:b/>
        </w:rPr>
        <w:t>All common indicators are considered to be “Result”</w:t>
      </w:r>
      <w:r w:rsidRPr="00255291">
        <w:t xml:space="preserve"> </w:t>
      </w:r>
      <w:r w:rsidR="00EE1C09">
        <w:t>indicators</w:t>
      </w:r>
      <w:r w:rsidR="00EE1C09" w:rsidRPr="00255291">
        <w:rPr>
          <w:bCs/>
        </w:rPr>
        <w:t xml:space="preserve"> </w:t>
      </w:r>
      <w:r w:rsidRPr="00255291">
        <w:rPr>
          <w:bCs/>
        </w:rPr>
        <w:t xml:space="preserve">and aim at tracking the progress </w:t>
      </w:r>
      <w:r w:rsidR="00EE1C09">
        <w:rPr>
          <w:bCs/>
        </w:rPr>
        <w:t>towards reaching the</w:t>
      </w:r>
      <w:r w:rsidRPr="00255291">
        <w:rPr>
          <w:bCs/>
        </w:rPr>
        <w:t xml:space="preserve"> objectives of the </w:t>
      </w:r>
      <w:r w:rsidR="00EE1C09">
        <w:rPr>
          <w:bCs/>
        </w:rPr>
        <w:t>RRF</w:t>
      </w:r>
      <w:r w:rsidRPr="00255291">
        <w:rPr>
          <w:bCs/>
        </w:rPr>
        <w:t xml:space="preserve">. Result indicators go beyond output indicators as they seek to capture a change in the situation and its effects to the beneficiaries, such as the population and/or enterprises targeted (i.e. citizens benefiting from additional protection against climate change and natural disasters, people benefiting from new public digital services, or trainings etc.). </w:t>
      </w:r>
    </w:p>
    <w:p w14:paraId="4257C6DD" w14:textId="7A4F9C0D" w:rsidR="007C1076" w:rsidRPr="00255291" w:rsidRDefault="007C1076" w:rsidP="00A458BC">
      <w:pPr>
        <w:pStyle w:val="Heading2"/>
        <w:numPr>
          <w:ilvl w:val="1"/>
          <w:numId w:val="43"/>
        </w:numPr>
        <w:rPr>
          <w:rFonts w:ascii="Times New Roman" w:hAnsi="Times New Roman" w:cs="Times New Roman"/>
          <w:b/>
          <w:color w:val="auto"/>
        </w:rPr>
      </w:pPr>
      <w:bookmarkStart w:id="2" w:name="_Toc93393169"/>
      <w:r w:rsidRPr="00255291">
        <w:rPr>
          <w:rFonts w:ascii="Times New Roman" w:hAnsi="Times New Roman" w:cs="Times New Roman"/>
          <w:b/>
          <w:color w:val="auto"/>
        </w:rPr>
        <w:t>Reporting period</w:t>
      </w:r>
      <w:bookmarkEnd w:id="2"/>
    </w:p>
    <w:p w14:paraId="3C74F6AF" w14:textId="54BC51A4" w:rsidR="007C1076" w:rsidRPr="00255291" w:rsidRDefault="007C1076" w:rsidP="00C1307B">
      <w:pPr>
        <w:rPr>
          <w:bCs/>
          <w:lang w:val="en-IE"/>
        </w:rPr>
      </w:pPr>
      <w:r w:rsidRPr="00255291">
        <w:rPr>
          <w:color w:val="000000"/>
          <w:sz w:val="23"/>
          <w:szCs w:val="23"/>
          <w:lang w:val="en-US"/>
        </w:rPr>
        <w:t xml:space="preserve">The reporting shall cover the full period of implementation of the plan. </w:t>
      </w:r>
      <w:r w:rsidRPr="00255291">
        <w:rPr>
          <w:b/>
          <w:lang w:val="en-IE"/>
        </w:rPr>
        <w:t>The reporting shall cover the period as from 1 February 2020 onwards</w:t>
      </w:r>
      <w:r w:rsidR="00521EDD">
        <w:rPr>
          <w:b/>
          <w:lang w:val="en-IE"/>
        </w:rPr>
        <w:t>,</w:t>
      </w:r>
      <w:r w:rsidRPr="00255291">
        <w:rPr>
          <w:b/>
          <w:lang w:val="en-IE"/>
        </w:rPr>
        <w:t xml:space="preserve"> </w:t>
      </w:r>
      <w:r w:rsidR="006F681F">
        <w:rPr>
          <w:b/>
          <w:lang w:val="en-IE"/>
        </w:rPr>
        <w:t>semi-annually</w:t>
      </w:r>
      <w:r w:rsidR="006F681F" w:rsidRPr="00255291">
        <w:rPr>
          <w:b/>
          <w:lang w:val="en-IE"/>
        </w:rPr>
        <w:t xml:space="preserve"> </w:t>
      </w:r>
      <w:r w:rsidR="00521EDD">
        <w:rPr>
          <w:b/>
          <w:lang w:val="en-IE"/>
        </w:rPr>
        <w:t>using the</w:t>
      </w:r>
      <w:r w:rsidRPr="00255291">
        <w:rPr>
          <w:b/>
          <w:lang w:val="en-IE"/>
        </w:rPr>
        <w:t xml:space="preserve"> cut-off dates of 31 December and 30 June each year</w:t>
      </w:r>
      <w:r w:rsidRPr="00255291">
        <w:rPr>
          <w:bCs/>
          <w:lang w:val="en-IE"/>
        </w:rPr>
        <w:t>.</w:t>
      </w:r>
      <w:r w:rsidR="00EA320F">
        <w:rPr>
          <w:bCs/>
          <w:lang w:val="en-IE"/>
        </w:rPr>
        <w:t xml:space="preserve"> All Member States with a Council implementing decision (CID) adopted before the respective cut-off dates are required to report on the measures included in this CID during the </w:t>
      </w:r>
      <w:r w:rsidR="00CF0F9B">
        <w:rPr>
          <w:bCs/>
          <w:lang w:val="en-IE"/>
        </w:rPr>
        <w:t>corresponding reporting round. E</w:t>
      </w:r>
      <w:r w:rsidR="00EA320F">
        <w:rPr>
          <w:bCs/>
          <w:lang w:val="en-IE"/>
        </w:rPr>
        <w:t xml:space="preserve">.g. </w:t>
      </w:r>
      <w:r w:rsidR="00CF0F9B" w:rsidRPr="00101080">
        <w:rPr>
          <w:bCs/>
          <w:i/>
          <w:lang w:val="en-IE"/>
        </w:rPr>
        <w:t xml:space="preserve">a Member state with a </w:t>
      </w:r>
      <w:r w:rsidR="00EA320F" w:rsidRPr="00101080">
        <w:rPr>
          <w:bCs/>
          <w:i/>
          <w:lang w:val="en-IE"/>
        </w:rPr>
        <w:t xml:space="preserve">CID adopted in November 2021 means that the Member State is required to report in the February </w:t>
      </w:r>
      <w:r w:rsidR="00CF0F9B">
        <w:rPr>
          <w:bCs/>
          <w:i/>
          <w:lang w:val="en-IE"/>
        </w:rPr>
        <w:t xml:space="preserve">2022 </w:t>
      </w:r>
      <w:r w:rsidR="00EA320F" w:rsidRPr="00101080">
        <w:rPr>
          <w:bCs/>
          <w:i/>
          <w:lang w:val="en-IE"/>
        </w:rPr>
        <w:t>round on the impact of the measures included in this CID</w:t>
      </w:r>
      <w:r w:rsidR="00EA320F">
        <w:rPr>
          <w:bCs/>
          <w:lang w:val="en-IE"/>
        </w:rPr>
        <w:t>.</w:t>
      </w:r>
      <w:r w:rsidR="00CF0F9B">
        <w:rPr>
          <w:bCs/>
          <w:lang w:val="en-IE"/>
        </w:rPr>
        <w:t xml:space="preserve"> </w:t>
      </w:r>
      <w:r w:rsidR="00562560" w:rsidRPr="00562560">
        <w:rPr>
          <w:bCs/>
          <w:lang w:val="en-IE"/>
        </w:rPr>
        <w:t>For further updates/amendments of the plans, the latest plan that has been adopted by CID by the respective cut-off dates is the basis for the reporting</w:t>
      </w:r>
      <w:r w:rsidR="00562560">
        <w:rPr>
          <w:bCs/>
          <w:lang w:val="en-IE"/>
        </w:rPr>
        <w:t>.</w:t>
      </w:r>
    </w:p>
    <w:p w14:paraId="202C45D6" w14:textId="2372F34B" w:rsidR="007C1076" w:rsidRPr="008048D4" w:rsidRDefault="007F59CC" w:rsidP="00AF36BC">
      <w:pPr>
        <w:rPr>
          <w:bCs/>
          <w:lang w:val="en-IE"/>
        </w:rPr>
      </w:pPr>
      <w:r w:rsidRPr="00255291">
        <w:rPr>
          <w:bCs/>
        </w:rPr>
        <w:t>The figures to report in August of year N shall represent the results of the measures which have been made operational during the period from January to June of year N and the value reported in February of year N+1 shall represent the results of the measures which have been made operational during the period between July and December</w:t>
      </w:r>
      <w:r w:rsidRPr="00255291" w:rsidDel="0016706E">
        <w:rPr>
          <w:bCs/>
        </w:rPr>
        <w:t xml:space="preserve"> </w:t>
      </w:r>
      <w:r w:rsidRPr="00255291">
        <w:rPr>
          <w:bCs/>
        </w:rPr>
        <w:t xml:space="preserve">of year N. </w:t>
      </w:r>
      <w:r w:rsidR="007C1076" w:rsidRPr="00255291">
        <w:rPr>
          <w:bCs/>
          <w:i/>
        </w:rPr>
        <w:t xml:space="preserve">E.g.: for the year 2022, the bi-annual reporting will occur in August 2022 with a cut-off date in June 2022 and in February of 2023 with a cut-off date in December of 2022. </w:t>
      </w:r>
    </w:p>
    <w:p w14:paraId="5D7FF72F" w14:textId="734B3DA6" w:rsidR="007C1076" w:rsidRPr="00255291" w:rsidRDefault="007C1076" w:rsidP="00A458BC">
      <w:pPr>
        <w:pStyle w:val="Heading2"/>
        <w:numPr>
          <w:ilvl w:val="1"/>
          <w:numId w:val="43"/>
        </w:numPr>
        <w:rPr>
          <w:rFonts w:ascii="Times New Roman" w:hAnsi="Times New Roman" w:cs="Times New Roman"/>
          <w:b/>
          <w:color w:val="auto"/>
        </w:rPr>
      </w:pPr>
      <w:bookmarkStart w:id="3" w:name="_Toc93393170"/>
      <w:r w:rsidRPr="00255291">
        <w:rPr>
          <w:rFonts w:ascii="Times New Roman" w:hAnsi="Times New Roman" w:cs="Times New Roman"/>
          <w:b/>
          <w:color w:val="auto"/>
        </w:rPr>
        <w:t>Estimates on implemented measures</w:t>
      </w:r>
      <w:bookmarkEnd w:id="3"/>
    </w:p>
    <w:p w14:paraId="113ABB1E" w14:textId="601BB084" w:rsidR="007C1076" w:rsidRPr="00255291" w:rsidRDefault="007C1076" w:rsidP="007C1076">
      <w:pPr>
        <w:autoSpaceDE w:val="0"/>
        <w:autoSpaceDN w:val="0"/>
        <w:adjustRightInd w:val="0"/>
        <w:spacing w:before="0" w:after="0"/>
        <w:rPr>
          <w:lang w:val="en-IE"/>
        </w:rPr>
      </w:pPr>
      <w:r w:rsidRPr="00255291">
        <w:rPr>
          <w:lang w:val="en-IE"/>
        </w:rPr>
        <w:t xml:space="preserve">Some indicators may </w:t>
      </w:r>
      <w:r w:rsidR="005C7C11">
        <w:rPr>
          <w:lang w:val="en-IE"/>
        </w:rPr>
        <w:t>present</w:t>
      </w:r>
      <w:r w:rsidR="005C7C11" w:rsidRPr="00255291">
        <w:rPr>
          <w:lang w:val="en-IE"/>
        </w:rPr>
        <w:t xml:space="preserve"> </w:t>
      </w:r>
      <w:r w:rsidRPr="00255291">
        <w:rPr>
          <w:lang w:val="en-IE"/>
        </w:rPr>
        <w:t xml:space="preserve">a time lag between the time a project is operational or a reform has entered into force and the time to measure their real impact. Therefore, in those cases, a Member State </w:t>
      </w:r>
      <w:r w:rsidR="00D5368B">
        <w:rPr>
          <w:lang w:val="en-IE"/>
        </w:rPr>
        <w:t>have the possibility to</w:t>
      </w:r>
      <w:r w:rsidRPr="00255291">
        <w:rPr>
          <w:lang w:val="en-IE"/>
        </w:rPr>
        <w:t xml:space="preserve"> use in the first reporting </w:t>
      </w:r>
      <w:r w:rsidRPr="00255291">
        <w:rPr>
          <w:b/>
          <w:lang w:val="en-IE"/>
        </w:rPr>
        <w:t>an estimate</w:t>
      </w:r>
      <w:r w:rsidRPr="00255291">
        <w:rPr>
          <w:lang w:val="en-IE"/>
        </w:rPr>
        <w:t xml:space="preserve">. </w:t>
      </w:r>
      <w:r w:rsidR="00D5368B">
        <w:rPr>
          <w:lang w:val="en-IE"/>
        </w:rPr>
        <w:t>Should a Member State decide to report an estimate, t</w:t>
      </w:r>
      <w:r w:rsidRPr="00255291">
        <w:rPr>
          <w:lang w:val="en-IE"/>
        </w:rPr>
        <w:t>he methodology used</w:t>
      </w:r>
      <w:r w:rsidR="00D5368B">
        <w:rPr>
          <w:lang w:val="en-IE"/>
        </w:rPr>
        <w:t xml:space="preserve"> </w:t>
      </w:r>
      <w:r w:rsidRPr="00255291">
        <w:rPr>
          <w:lang w:val="en-IE"/>
        </w:rPr>
        <w:t xml:space="preserve">should be provided to the </w:t>
      </w:r>
      <w:r w:rsidRPr="00255291">
        <w:rPr>
          <w:lang w:val="en-IE"/>
        </w:rPr>
        <w:lastRenderedPageBreak/>
        <w:t xml:space="preserve">Commission. The aim of providing estimated data is to </w:t>
      </w:r>
      <w:r w:rsidRPr="00255291">
        <w:rPr>
          <w:b/>
          <w:lang w:val="en-IE"/>
        </w:rPr>
        <w:t>report as soon as possible</w:t>
      </w:r>
      <w:r w:rsidRPr="00255291">
        <w:rPr>
          <w:lang w:val="en-IE"/>
        </w:rPr>
        <w:t xml:space="preserve"> on the potential impact of the achievements on the scoreboard. Such estimated data can be </w:t>
      </w:r>
      <w:r w:rsidRPr="00255291">
        <w:rPr>
          <w:b/>
          <w:lang w:val="en-IE"/>
        </w:rPr>
        <w:t xml:space="preserve">revised when the </w:t>
      </w:r>
      <w:r w:rsidR="007C1200">
        <w:rPr>
          <w:b/>
          <w:lang w:val="en-IE"/>
        </w:rPr>
        <w:t>real</w:t>
      </w:r>
      <w:r w:rsidR="007C1200" w:rsidRPr="00255291">
        <w:rPr>
          <w:b/>
          <w:lang w:val="en-IE"/>
        </w:rPr>
        <w:t xml:space="preserve"> </w:t>
      </w:r>
      <w:r w:rsidRPr="00255291">
        <w:rPr>
          <w:b/>
          <w:lang w:val="en-IE"/>
        </w:rPr>
        <w:t>data is available</w:t>
      </w:r>
      <w:r w:rsidRPr="00255291">
        <w:rPr>
          <w:lang w:val="en-IE"/>
        </w:rPr>
        <w:t xml:space="preserve">. </w:t>
      </w:r>
    </w:p>
    <w:p w14:paraId="152916BD" w14:textId="77777777" w:rsidR="007C1076" w:rsidRPr="00255291" w:rsidRDefault="007C1076" w:rsidP="007C1076">
      <w:pPr>
        <w:rPr>
          <w:szCs w:val="23"/>
        </w:rPr>
      </w:pPr>
      <w:r w:rsidRPr="00255291">
        <w:t>Therefore in cases where the real impact can only be measured with a time lag, the performance reporting system is based on a two-staged approach:</w:t>
      </w:r>
    </w:p>
    <w:p w14:paraId="645A03E9" w14:textId="77777777" w:rsidR="007C1076" w:rsidRPr="00255291" w:rsidRDefault="007C1076" w:rsidP="007C1076">
      <w:pPr>
        <w:pStyle w:val="ListParagraph"/>
        <w:numPr>
          <w:ilvl w:val="0"/>
          <w:numId w:val="34"/>
        </w:numPr>
      </w:pPr>
      <w:r w:rsidRPr="00255291">
        <w:t>first stage: the Member State provides their best estimates and associated methodological approaches on the potential impact;</w:t>
      </w:r>
    </w:p>
    <w:p w14:paraId="6C54E4C6" w14:textId="77777777" w:rsidR="007C1076" w:rsidRPr="00255291" w:rsidRDefault="007C1076" w:rsidP="007C1076">
      <w:pPr>
        <w:pStyle w:val="ListParagraph"/>
        <w:numPr>
          <w:ilvl w:val="0"/>
          <w:numId w:val="34"/>
        </w:numPr>
      </w:pPr>
      <w:r w:rsidRPr="00255291">
        <w:t>second stage: at each bi-annual reporting period, the estimates provided at the earlier stage shall be revised and overwritten with real data.</w:t>
      </w:r>
    </w:p>
    <w:p w14:paraId="0FD965B0" w14:textId="77777777" w:rsidR="007C1076" w:rsidRPr="00255291" w:rsidRDefault="007C1076" w:rsidP="007C1076">
      <w:pPr>
        <w:autoSpaceDE w:val="0"/>
        <w:autoSpaceDN w:val="0"/>
        <w:adjustRightInd w:val="0"/>
        <w:spacing w:before="0" w:after="0"/>
        <w:rPr>
          <w:i/>
          <w:lang w:val="en-IE"/>
        </w:rPr>
      </w:pPr>
      <w:r w:rsidRPr="00255291">
        <w:rPr>
          <w:i/>
          <w:lang w:val="en-IE"/>
        </w:rPr>
        <w:t xml:space="preserve">E.g.: the production of new renewable energy facilities may be estimated when they become operational and revised according their real and effective production (wind strength/duration, real yearly production of solar panels, etc.). The same apply to the availability of a new public digital service which might potentially be used and best estimated to a relative percentage of the population and revised after a period with the real number of connected users. </w:t>
      </w:r>
    </w:p>
    <w:p w14:paraId="221EB7D4" w14:textId="77777777" w:rsidR="0097062B" w:rsidRPr="00255291" w:rsidRDefault="0097062B" w:rsidP="0097062B">
      <w:pPr>
        <w:rPr>
          <w:lang w:val="en-IE"/>
        </w:rPr>
      </w:pPr>
    </w:p>
    <w:p w14:paraId="0F7EFDE9" w14:textId="00A24221" w:rsidR="003E39DE" w:rsidRPr="00255291" w:rsidRDefault="003E39DE" w:rsidP="00A458BC">
      <w:pPr>
        <w:pStyle w:val="Heading2"/>
        <w:numPr>
          <w:ilvl w:val="1"/>
          <w:numId w:val="43"/>
        </w:numPr>
        <w:rPr>
          <w:rFonts w:ascii="Times New Roman" w:hAnsi="Times New Roman" w:cs="Times New Roman"/>
          <w:b/>
          <w:color w:val="auto"/>
        </w:rPr>
      </w:pPr>
      <w:bookmarkStart w:id="4" w:name="_Toc93393171"/>
      <w:r w:rsidRPr="00255291">
        <w:rPr>
          <w:rFonts w:ascii="Times New Roman" w:hAnsi="Times New Roman" w:cs="Times New Roman"/>
          <w:b/>
          <w:color w:val="auto"/>
        </w:rPr>
        <w:t>Counting methodology</w:t>
      </w:r>
      <w:bookmarkEnd w:id="4"/>
    </w:p>
    <w:p w14:paraId="15DF8879" w14:textId="4CF1DB47" w:rsidR="0024455D" w:rsidRPr="00255291" w:rsidRDefault="0024455D" w:rsidP="00FB64C0">
      <w:pPr>
        <w:rPr>
          <w:lang w:val="en-IE"/>
        </w:rPr>
      </w:pPr>
      <w:r w:rsidRPr="00255291">
        <w:rPr>
          <w:lang w:val="en-IE"/>
        </w:rPr>
        <w:t>T</w:t>
      </w:r>
      <w:r w:rsidR="002C5CC6" w:rsidRPr="00255291">
        <w:rPr>
          <w:lang w:val="en-IE"/>
        </w:rPr>
        <w:t xml:space="preserve">he aim </w:t>
      </w:r>
      <w:r w:rsidRPr="00255291">
        <w:rPr>
          <w:lang w:val="en-IE"/>
        </w:rPr>
        <w:t xml:space="preserve">of the common indicators reporting </w:t>
      </w:r>
      <w:r w:rsidR="002C5CC6" w:rsidRPr="00255291">
        <w:rPr>
          <w:lang w:val="en-IE"/>
        </w:rPr>
        <w:t xml:space="preserve">is to </w:t>
      </w:r>
      <w:r w:rsidR="00E90D12" w:rsidRPr="00255291">
        <w:rPr>
          <w:lang w:val="en-IE"/>
        </w:rPr>
        <w:t xml:space="preserve">capture </w:t>
      </w:r>
      <w:r w:rsidR="002C5CC6" w:rsidRPr="00255291">
        <w:rPr>
          <w:lang w:val="en-IE"/>
        </w:rPr>
        <w:t xml:space="preserve">the positive impact of the measures. Therefore, </w:t>
      </w:r>
      <w:r w:rsidR="004B2B45" w:rsidRPr="00255291">
        <w:rPr>
          <w:lang w:val="en-IE"/>
        </w:rPr>
        <w:t xml:space="preserve">the </w:t>
      </w:r>
      <w:r w:rsidR="006A5BEE" w:rsidRPr="00255291">
        <w:rPr>
          <w:lang w:val="en-IE"/>
        </w:rPr>
        <w:t>counting</w:t>
      </w:r>
      <w:r w:rsidR="003E39DE" w:rsidRPr="00255291">
        <w:rPr>
          <w:lang w:val="en-IE"/>
        </w:rPr>
        <w:t xml:space="preserve"> should </w:t>
      </w:r>
      <w:r w:rsidR="00875024" w:rsidRPr="00255291">
        <w:rPr>
          <w:b/>
          <w:lang w:val="en-IE"/>
        </w:rPr>
        <w:t>ensure that an</w:t>
      </w:r>
      <w:r w:rsidR="003E39DE" w:rsidRPr="00255291">
        <w:rPr>
          <w:b/>
          <w:lang w:val="en-IE"/>
        </w:rPr>
        <w:t xml:space="preserve"> entity</w:t>
      </w:r>
      <w:r w:rsidR="00AA0D17" w:rsidRPr="00255291">
        <w:rPr>
          <w:b/>
          <w:lang w:val="en-IE"/>
        </w:rPr>
        <w:t xml:space="preserve"> (person, enterprise)</w:t>
      </w:r>
      <w:r w:rsidR="003E39DE" w:rsidRPr="00255291">
        <w:rPr>
          <w:b/>
          <w:lang w:val="en-IE"/>
        </w:rPr>
        <w:t xml:space="preserve"> </w:t>
      </w:r>
      <w:r w:rsidR="00875024" w:rsidRPr="00255291">
        <w:rPr>
          <w:b/>
          <w:lang w:val="en-IE"/>
        </w:rPr>
        <w:t>is reported only once</w:t>
      </w:r>
      <w:r w:rsidR="002C5CC6" w:rsidRPr="00255291">
        <w:rPr>
          <w:b/>
          <w:lang w:val="en-IE"/>
        </w:rPr>
        <w:t xml:space="preserve"> </w:t>
      </w:r>
      <w:r w:rsidR="00C2627B">
        <w:rPr>
          <w:b/>
          <w:lang w:val="en-IE"/>
        </w:rPr>
        <w:t xml:space="preserve">per measure </w:t>
      </w:r>
      <w:r w:rsidR="002C5CC6" w:rsidRPr="00255291">
        <w:rPr>
          <w:b/>
          <w:lang w:val="en-IE"/>
        </w:rPr>
        <w:t>for the reporting period</w:t>
      </w:r>
      <w:r w:rsidR="00875024" w:rsidRPr="00255291">
        <w:rPr>
          <w:b/>
          <w:lang w:val="en-IE"/>
        </w:rPr>
        <w:t xml:space="preserve">, </w:t>
      </w:r>
      <w:r w:rsidR="003E39DE" w:rsidRPr="00255291">
        <w:rPr>
          <w:b/>
          <w:lang w:val="en-IE"/>
        </w:rPr>
        <w:t>regardless of how many times it receives support</w:t>
      </w:r>
      <w:r w:rsidR="003E39DE" w:rsidRPr="00255291">
        <w:rPr>
          <w:lang w:val="en-IE"/>
        </w:rPr>
        <w:t xml:space="preserve"> or participate</w:t>
      </w:r>
      <w:r w:rsidR="00D74E48" w:rsidRPr="00255291">
        <w:rPr>
          <w:lang w:val="en-IE"/>
        </w:rPr>
        <w:t>s</w:t>
      </w:r>
      <w:r w:rsidR="003E39DE" w:rsidRPr="00255291">
        <w:rPr>
          <w:lang w:val="en-IE"/>
        </w:rPr>
        <w:t xml:space="preserve"> in the particular measure under the Facility</w:t>
      </w:r>
      <w:r w:rsidR="00903085" w:rsidRPr="00255291">
        <w:rPr>
          <w:lang w:val="en-IE"/>
        </w:rPr>
        <w:t>, except when indicated otherwise in the indicator</w:t>
      </w:r>
      <w:r w:rsidR="003E39DE" w:rsidRPr="00255291">
        <w:rPr>
          <w:lang w:val="en-IE"/>
        </w:rPr>
        <w:t>.</w:t>
      </w:r>
      <w:r w:rsidR="006A5BEE" w:rsidRPr="00255291">
        <w:rPr>
          <w:lang w:val="en-IE"/>
        </w:rPr>
        <w:t xml:space="preserve"> </w:t>
      </w:r>
      <w:r w:rsidRPr="00255291">
        <w:rPr>
          <w:i/>
          <w:lang w:val="en-IE"/>
        </w:rPr>
        <w:t>E.g.:  for the use of new</w:t>
      </w:r>
      <w:r w:rsidR="00E63225">
        <w:rPr>
          <w:i/>
          <w:lang w:val="en-IE"/>
        </w:rPr>
        <w:t xml:space="preserve"> education</w:t>
      </w:r>
      <w:r w:rsidRPr="00255291">
        <w:rPr>
          <w:i/>
          <w:lang w:val="en-IE"/>
        </w:rPr>
        <w:t xml:space="preserve"> facilities; the indicator shall represent the size of the cohort benefiting from the measure, not the frequency of use.</w:t>
      </w:r>
    </w:p>
    <w:p w14:paraId="3B833F9B" w14:textId="306BCFE7" w:rsidR="002C5CC6" w:rsidRPr="00255291" w:rsidRDefault="004B2B45" w:rsidP="00FB64C0">
      <w:pPr>
        <w:rPr>
          <w:lang w:val="en-IE"/>
        </w:rPr>
      </w:pPr>
      <w:r w:rsidRPr="00255291">
        <w:rPr>
          <w:lang w:val="en-IE"/>
        </w:rPr>
        <w:t>However</w:t>
      </w:r>
      <w:r w:rsidR="00C6238E" w:rsidRPr="00255291">
        <w:rPr>
          <w:lang w:val="en-IE"/>
        </w:rPr>
        <w:t xml:space="preserve">, </w:t>
      </w:r>
      <w:r w:rsidR="00C10B1C" w:rsidRPr="00255291">
        <w:rPr>
          <w:lang w:val="en-IE"/>
        </w:rPr>
        <w:t xml:space="preserve">entities </w:t>
      </w:r>
      <w:r w:rsidRPr="00255291">
        <w:rPr>
          <w:lang w:val="en-IE"/>
        </w:rPr>
        <w:t xml:space="preserve">which </w:t>
      </w:r>
      <w:r w:rsidR="00C10B1C" w:rsidRPr="00255291">
        <w:rPr>
          <w:lang w:val="en-IE"/>
        </w:rPr>
        <w:t xml:space="preserve">benefit from </w:t>
      </w:r>
      <w:r w:rsidR="00C10B1C" w:rsidRPr="00255291">
        <w:rPr>
          <w:u w:val="single"/>
          <w:lang w:val="en-IE"/>
        </w:rPr>
        <w:t>different</w:t>
      </w:r>
      <w:r w:rsidR="00C10B1C" w:rsidRPr="00255291">
        <w:rPr>
          <w:lang w:val="en-IE"/>
        </w:rPr>
        <w:t xml:space="preserve"> measures</w:t>
      </w:r>
      <w:r w:rsidR="002C5CC6" w:rsidRPr="00255291">
        <w:rPr>
          <w:lang w:val="en-IE"/>
        </w:rPr>
        <w:t xml:space="preserve"> under the Facility</w:t>
      </w:r>
      <w:r w:rsidR="00C10B1C" w:rsidRPr="00255291">
        <w:rPr>
          <w:lang w:val="en-IE"/>
        </w:rPr>
        <w:t xml:space="preserve"> </w:t>
      </w:r>
      <w:r w:rsidR="00A748CC" w:rsidRPr="00255291">
        <w:rPr>
          <w:lang w:val="en-IE"/>
        </w:rPr>
        <w:t>that</w:t>
      </w:r>
      <w:r w:rsidR="002C5CC6" w:rsidRPr="00255291">
        <w:rPr>
          <w:lang w:val="en-IE"/>
        </w:rPr>
        <w:t xml:space="preserve"> pursue</w:t>
      </w:r>
      <w:r w:rsidR="00AA0D17" w:rsidRPr="00255291">
        <w:rPr>
          <w:lang w:val="en-IE"/>
        </w:rPr>
        <w:t xml:space="preserve"> </w:t>
      </w:r>
      <w:r w:rsidR="005820A4" w:rsidRPr="00255291">
        <w:rPr>
          <w:u w:val="single"/>
          <w:lang w:val="en-IE"/>
        </w:rPr>
        <w:t>different</w:t>
      </w:r>
      <w:r w:rsidR="005820A4" w:rsidRPr="00255291">
        <w:rPr>
          <w:lang w:val="en-IE"/>
        </w:rPr>
        <w:t xml:space="preserve"> </w:t>
      </w:r>
      <w:r w:rsidR="00921542" w:rsidRPr="00255291">
        <w:rPr>
          <w:lang w:val="en-IE"/>
        </w:rPr>
        <w:t>objective</w:t>
      </w:r>
      <w:r w:rsidR="00AA0D17" w:rsidRPr="00255291">
        <w:rPr>
          <w:lang w:val="en-IE"/>
        </w:rPr>
        <w:t>s</w:t>
      </w:r>
      <w:r w:rsidR="00C10B1C" w:rsidRPr="00255291">
        <w:rPr>
          <w:lang w:val="en-IE"/>
        </w:rPr>
        <w:t xml:space="preserve"> sh</w:t>
      </w:r>
      <w:r w:rsidR="00AA0D17" w:rsidRPr="00255291">
        <w:rPr>
          <w:lang w:val="en-IE"/>
        </w:rPr>
        <w:t>all</w:t>
      </w:r>
      <w:r w:rsidR="00C10B1C" w:rsidRPr="00255291">
        <w:rPr>
          <w:lang w:val="en-IE"/>
        </w:rPr>
        <w:t xml:space="preserve"> be counted</w:t>
      </w:r>
      <w:r w:rsidR="00AA0D17" w:rsidRPr="00255291">
        <w:rPr>
          <w:lang w:val="en-IE"/>
        </w:rPr>
        <w:t xml:space="preserve"> </w:t>
      </w:r>
      <w:r w:rsidR="00C83C2D" w:rsidRPr="00255291">
        <w:rPr>
          <w:lang w:val="en-IE"/>
        </w:rPr>
        <w:t>separately.</w:t>
      </w:r>
    </w:p>
    <w:p w14:paraId="352BF93F" w14:textId="77777777" w:rsidR="006964A3" w:rsidRPr="00255291" w:rsidRDefault="0024455D">
      <w:pPr>
        <w:rPr>
          <w:i/>
          <w:lang w:val="en-IE"/>
        </w:rPr>
      </w:pPr>
      <w:r w:rsidRPr="00255291">
        <w:rPr>
          <w:i/>
          <w:lang w:val="en-IE"/>
        </w:rPr>
        <w:t>E.g.:</w:t>
      </w:r>
      <w:r w:rsidR="006964A3" w:rsidRPr="00255291">
        <w:rPr>
          <w:i/>
          <w:lang w:val="en-IE"/>
        </w:rPr>
        <w:t xml:space="preserve"> a person benefitting from two different training programmes supported under two different measures of an RRP</w:t>
      </w:r>
      <w:r w:rsidR="004805AD" w:rsidRPr="00255291">
        <w:rPr>
          <w:i/>
          <w:lang w:val="en-IE"/>
        </w:rPr>
        <w:t>,</w:t>
      </w:r>
      <w:r w:rsidR="006964A3" w:rsidRPr="00255291">
        <w:rPr>
          <w:i/>
          <w:lang w:val="en-IE"/>
        </w:rPr>
        <w:t xml:space="preserve"> with the objective of one being to improve digital skills and of the other being to train for sustainable farming jobs</w:t>
      </w:r>
      <w:r w:rsidR="004805AD" w:rsidRPr="00255291">
        <w:rPr>
          <w:i/>
          <w:lang w:val="en-IE"/>
        </w:rPr>
        <w:t>:</w:t>
      </w:r>
      <w:r w:rsidR="006964A3" w:rsidRPr="00255291">
        <w:rPr>
          <w:i/>
          <w:lang w:val="en-IE"/>
        </w:rPr>
        <w:t xml:space="preserve"> </w:t>
      </w:r>
      <w:r w:rsidR="0043354A" w:rsidRPr="00255291">
        <w:rPr>
          <w:i/>
          <w:lang w:val="en-IE"/>
        </w:rPr>
        <w:t xml:space="preserve">Here the same person would be reported twice. </w:t>
      </w:r>
    </w:p>
    <w:p w14:paraId="7305BADA" w14:textId="66E38154" w:rsidR="0046258B" w:rsidRPr="00255291" w:rsidRDefault="0046258B" w:rsidP="0046258B">
      <w:r w:rsidRPr="00255291">
        <w:t xml:space="preserve">Similarly, the measures </w:t>
      </w:r>
      <w:r w:rsidR="00613EC9">
        <w:t>(or some of its projects)</w:t>
      </w:r>
      <w:r w:rsidR="00D461CF">
        <w:t xml:space="preserve"> </w:t>
      </w:r>
      <w:r w:rsidRPr="00255291">
        <w:t xml:space="preserve">financed by the Facility may provide support over a long period. In these cases, the entity receiving the </w:t>
      </w:r>
      <w:r w:rsidRPr="00255291">
        <w:rPr>
          <w:b/>
        </w:rPr>
        <w:t>support shall be counted on</w:t>
      </w:r>
      <w:r w:rsidR="0081231B" w:rsidRPr="00255291">
        <w:rPr>
          <w:b/>
        </w:rPr>
        <w:t>ce at the first relevant reporting period</w:t>
      </w:r>
      <w:r w:rsidRPr="00255291">
        <w:t xml:space="preserve">. </w:t>
      </w:r>
    </w:p>
    <w:p w14:paraId="11C98519" w14:textId="7442A59E" w:rsidR="0046258B" w:rsidRPr="00255291" w:rsidRDefault="0046258B">
      <w:pPr>
        <w:rPr>
          <w:lang w:val="en-IE"/>
        </w:rPr>
      </w:pPr>
      <w:r w:rsidRPr="00255291">
        <w:t xml:space="preserve">E.g.: </w:t>
      </w:r>
      <w:r w:rsidRPr="00255291">
        <w:rPr>
          <w:i/>
          <w:lang w:val="en-IE"/>
        </w:rPr>
        <w:t>participants shall be counted once per education or training activity followed on the reporting period the person started participating, even if it lasts several years. Conversely, a participant to two different education or training activities should be counted twice (once per training or education activity and/or objective).</w:t>
      </w:r>
    </w:p>
    <w:p w14:paraId="7B03CCEC" w14:textId="77777777" w:rsidR="008B4BFF" w:rsidRPr="00255291" w:rsidRDefault="008B4BFF" w:rsidP="00B765B2">
      <w:pPr>
        <w:rPr>
          <w:i/>
        </w:rPr>
      </w:pPr>
    </w:p>
    <w:p w14:paraId="5BD96674" w14:textId="4B6F81FC" w:rsidR="007B12C2" w:rsidRPr="00255291" w:rsidRDefault="007B12C2" w:rsidP="00A458BC">
      <w:pPr>
        <w:pStyle w:val="Heading2"/>
        <w:numPr>
          <w:ilvl w:val="1"/>
          <w:numId w:val="43"/>
        </w:numPr>
        <w:rPr>
          <w:rFonts w:ascii="Times New Roman" w:hAnsi="Times New Roman" w:cs="Times New Roman"/>
          <w:b/>
          <w:color w:val="auto"/>
        </w:rPr>
      </w:pPr>
      <w:bookmarkStart w:id="5" w:name="_Toc93393172"/>
      <w:r w:rsidRPr="00255291">
        <w:rPr>
          <w:rFonts w:ascii="Times New Roman" w:hAnsi="Times New Roman" w:cs="Times New Roman"/>
          <w:b/>
          <w:color w:val="auto"/>
        </w:rPr>
        <w:t>Baseline</w:t>
      </w:r>
      <w:r w:rsidR="001B23AE" w:rsidRPr="00255291">
        <w:rPr>
          <w:rFonts w:ascii="Times New Roman" w:hAnsi="Times New Roman" w:cs="Times New Roman"/>
          <w:b/>
          <w:color w:val="auto"/>
        </w:rPr>
        <w:t xml:space="preserve"> </w:t>
      </w:r>
      <w:r w:rsidR="00337218" w:rsidRPr="00255291">
        <w:rPr>
          <w:rFonts w:ascii="Times New Roman" w:hAnsi="Times New Roman" w:cs="Times New Roman"/>
          <w:b/>
          <w:color w:val="auto"/>
        </w:rPr>
        <w:t xml:space="preserve">and </w:t>
      </w:r>
      <w:r w:rsidR="006F681F">
        <w:rPr>
          <w:rFonts w:ascii="Times New Roman" w:hAnsi="Times New Roman" w:cs="Times New Roman"/>
          <w:b/>
          <w:color w:val="auto"/>
        </w:rPr>
        <w:t>ac</w:t>
      </w:r>
      <w:r w:rsidR="00337218" w:rsidRPr="00255291">
        <w:rPr>
          <w:rFonts w:ascii="Times New Roman" w:hAnsi="Times New Roman" w:cs="Times New Roman"/>
          <w:b/>
          <w:color w:val="auto"/>
        </w:rPr>
        <w:t>cumulation</w:t>
      </w:r>
      <w:bookmarkEnd w:id="5"/>
    </w:p>
    <w:p w14:paraId="3E3C5F8F" w14:textId="1D0A322C" w:rsidR="00887A96" w:rsidRPr="00255291" w:rsidRDefault="007B12C2" w:rsidP="00522E8D">
      <w:r w:rsidRPr="00255291">
        <w:t>The</w:t>
      </w:r>
      <w:r w:rsidR="0012052E" w:rsidRPr="00255291">
        <w:t xml:space="preserve"> initial</w:t>
      </w:r>
      <w:r w:rsidRPr="00255291">
        <w:t xml:space="preserve"> baseline</w:t>
      </w:r>
      <w:r w:rsidR="00887A96" w:rsidRPr="00255291">
        <w:t xml:space="preserve"> (</w:t>
      </w:r>
      <w:r w:rsidR="006E1986" w:rsidRPr="00255291">
        <w:t xml:space="preserve">i.e. </w:t>
      </w:r>
      <w:r w:rsidR="00887A96" w:rsidRPr="00255291">
        <w:t>for the first reporting round)</w:t>
      </w:r>
      <w:r w:rsidRPr="00255291">
        <w:t xml:space="preserve"> shall </w:t>
      </w:r>
      <w:r w:rsidR="00887A96" w:rsidRPr="00255291">
        <w:t>always be 0. After that and depending on the nature of the indicator, the baseline shall either:</w:t>
      </w:r>
    </w:p>
    <w:p w14:paraId="2D2ACE9C" w14:textId="11D583E7" w:rsidR="00BA0BB0" w:rsidRPr="00255291" w:rsidRDefault="00BA0BB0" w:rsidP="006B5486">
      <w:pPr>
        <w:pStyle w:val="ListParagraph"/>
        <w:numPr>
          <w:ilvl w:val="0"/>
          <w:numId w:val="42"/>
        </w:numPr>
        <w:rPr>
          <w:b/>
        </w:rPr>
      </w:pPr>
      <w:r w:rsidRPr="00255291">
        <w:lastRenderedPageBreak/>
        <w:t>be adjusted every reporting round to the achieved value of the previous reporting round</w:t>
      </w:r>
      <w:r w:rsidR="00887A96" w:rsidRPr="00255291">
        <w:t xml:space="preserve">  for</w:t>
      </w:r>
      <w:r w:rsidR="00887A96" w:rsidRPr="00255291">
        <w:rPr>
          <w:b/>
        </w:rPr>
        <w:t xml:space="preserve"> stock</w:t>
      </w:r>
      <w:r w:rsidR="006E1986" w:rsidRPr="00255291">
        <w:rPr>
          <w:b/>
        </w:rPr>
        <w:t xml:space="preserve"> (or stock-related)</w:t>
      </w:r>
      <w:r w:rsidR="00887A96" w:rsidRPr="00255291">
        <w:rPr>
          <w:b/>
        </w:rPr>
        <w:t xml:space="preserve"> indicators</w:t>
      </w:r>
    </w:p>
    <w:p w14:paraId="5E451275" w14:textId="0644ED04" w:rsidR="00887A96" w:rsidRPr="00255291" w:rsidRDefault="00121D78" w:rsidP="006B5486">
      <w:pPr>
        <w:pStyle w:val="ListParagraph"/>
        <w:numPr>
          <w:ilvl w:val="0"/>
          <w:numId w:val="42"/>
        </w:numPr>
        <w:rPr>
          <w:b/>
        </w:rPr>
      </w:pPr>
      <w:r>
        <w:t>b</w:t>
      </w:r>
      <w:r w:rsidR="00887A96" w:rsidRPr="00255291">
        <w:t>e reset to 0 every reporting round for</w:t>
      </w:r>
      <w:r w:rsidR="00887A96" w:rsidRPr="00255291">
        <w:rPr>
          <w:b/>
        </w:rPr>
        <w:t xml:space="preserve"> flow indicators. </w:t>
      </w:r>
    </w:p>
    <w:p w14:paraId="26915E65" w14:textId="226EA261" w:rsidR="00BA0BB0" w:rsidRPr="00255291" w:rsidRDefault="00522E8D">
      <w:r w:rsidRPr="00255291">
        <w:t xml:space="preserve">The achieved value shall refer to </w:t>
      </w:r>
      <w:r w:rsidRPr="00255291">
        <w:rPr>
          <w:b/>
        </w:rPr>
        <w:t xml:space="preserve">the results achieved </w:t>
      </w:r>
      <w:r w:rsidR="0023685E" w:rsidRPr="00255291">
        <w:rPr>
          <w:b/>
          <w:i/>
        </w:rPr>
        <w:t>due</w:t>
      </w:r>
      <w:r w:rsidR="0023685E" w:rsidRPr="00255291">
        <w:rPr>
          <w:b/>
        </w:rPr>
        <w:t xml:space="preserve"> to the </w:t>
      </w:r>
      <w:r w:rsidR="00887A96" w:rsidRPr="00255291">
        <w:rPr>
          <w:b/>
        </w:rPr>
        <w:t xml:space="preserve">RRP </w:t>
      </w:r>
      <w:r w:rsidR="0023685E" w:rsidRPr="00255291">
        <w:rPr>
          <w:b/>
        </w:rPr>
        <w:t xml:space="preserve">measures implemented </w:t>
      </w:r>
      <w:r w:rsidRPr="00255291">
        <w:rPr>
          <w:b/>
          <w:i/>
        </w:rPr>
        <w:t>during</w:t>
      </w:r>
      <w:r w:rsidRPr="00255291">
        <w:rPr>
          <w:b/>
        </w:rPr>
        <w:t xml:space="preserve"> the reporting period and not cumulated with previous periods</w:t>
      </w:r>
      <w:r w:rsidRPr="00255291">
        <w:t xml:space="preserve">. The values of the indicators are </w:t>
      </w:r>
      <w:r w:rsidR="0023685E" w:rsidRPr="00255291">
        <w:rPr>
          <w:b/>
        </w:rPr>
        <w:t xml:space="preserve">submitted </w:t>
      </w:r>
      <w:r w:rsidRPr="00255291">
        <w:rPr>
          <w:b/>
        </w:rPr>
        <w:t>through the Commission IT tool (FENIX)</w:t>
      </w:r>
      <w:r w:rsidRPr="00255291">
        <w:t xml:space="preserve">. </w:t>
      </w:r>
      <w:r w:rsidR="00BF490B" w:rsidRPr="00255291">
        <w:t>T</w:t>
      </w:r>
      <w:r w:rsidRPr="00255291">
        <w:t>he cumulating will be done by the Commission through FENIX.</w:t>
      </w:r>
    </w:p>
    <w:p w14:paraId="095839C9" w14:textId="77777777" w:rsidR="006B03B8" w:rsidRPr="00255291" w:rsidRDefault="006B03B8">
      <w:pPr>
        <w:rPr>
          <w:b/>
          <w:bCs/>
        </w:rPr>
      </w:pPr>
    </w:p>
    <w:p w14:paraId="31DEFD98" w14:textId="42E68F2E" w:rsidR="0072493A" w:rsidRPr="00255291" w:rsidRDefault="0072493A" w:rsidP="000F2EC4">
      <w:pPr>
        <w:pStyle w:val="Heading2"/>
        <w:numPr>
          <w:ilvl w:val="1"/>
          <w:numId w:val="43"/>
        </w:numPr>
        <w:rPr>
          <w:rFonts w:ascii="Times New Roman" w:hAnsi="Times New Roman" w:cs="Times New Roman"/>
          <w:b/>
          <w:color w:val="auto"/>
        </w:rPr>
      </w:pPr>
      <w:bookmarkStart w:id="6" w:name="_Toc93393173"/>
      <w:r w:rsidRPr="00255291">
        <w:rPr>
          <w:rFonts w:ascii="Times New Roman" w:hAnsi="Times New Roman" w:cs="Times New Roman"/>
          <w:b/>
          <w:color w:val="auto"/>
        </w:rPr>
        <w:t>Methodology applied</w:t>
      </w:r>
      <w:bookmarkEnd w:id="6"/>
    </w:p>
    <w:p w14:paraId="52B36CD6" w14:textId="57FA0EBE" w:rsidR="00166C26" w:rsidRDefault="0072493A" w:rsidP="0072493A">
      <w:r w:rsidRPr="00255291">
        <w:t>In order to ensure comparability of the common indicators, Member States shall strictly comply with this guidance document. For each common indicator where the counting requires estimates, or a specific methodological approach</w:t>
      </w:r>
      <w:r w:rsidR="005B71AE" w:rsidRPr="00255291">
        <w:t xml:space="preserve"> that goes</w:t>
      </w:r>
      <w:r w:rsidR="00C67727" w:rsidRPr="00255291">
        <w:t xml:space="preserve"> beyond what is</w:t>
      </w:r>
      <w:r w:rsidRPr="00255291">
        <w:t xml:space="preserve"> described in this guidance, the Member State shall </w:t>
      </w:r>
      <w:r w:rsidR="00C67727" w:rsidRPr="00255291">
        <w:t>inform</w:t>
      </w:r>
      <w:r w:rsidRPr="00255291">
        <w:t xml:space="preserve"> the Commission</w:t>
      </w:r>
      <w:r w:rsidR="006C62FA" w:rsidRPr="00255291">
        <w:t xml:space="preserve">. </w:t>
      </w:r>
      <w:r w:rsidRPr="00255291">
        <w:t xml:space="preserve">The Member States shall </w:t>
      </w:r>
      <w:r w:rsidRPr="00255291">
        <w:rPr>
          <w:b/>
        </w:rPr>
        <w:t xml:space="preserve">upload these methodological </w:t>
      </w:r>
      <w:r w:rsidR="00F43BE3" w:rsidRPr="00255291">
        <w:rPr>
          <w:b/>
        </w:rPr>
        <w:t>explications</w:t>
      </w:r>
      <w:r w:rsidRPr="00255291">
        <w:rPr>
          <w:b/>
        </w:rPr>
        <w:t xml:space="preserve"> in FENIX</w:t>
      </w:r>
      <w:r w:rsidRPr="00255291">
        <w:t xml:space="preserve">.  </w:t>
      </w:r>
    </w:p>
    <w:p w14:paraId="2F14771A" w14:textId="276D1034" w:rsidR="00CA0112" w:rsidRDefault="00CA0112" w:rsidP="0072493A">
      <w:pPr>
        <w:rPr>
          <w:b/>
        </w:rPr>
      </w:pPr>
    </w:p>
    <w:p w14:paraId="1E136645" w14:textId="37FB7575" w:rsidR="00CA0112" w:rsidRPr="00BA7CD1" w:rsidRDefault="00CA0112" w:rsidP="0072493A">
      <w:pPr>
        <w:rPr>
          <w:i/>
        </w:rPr>
      </w:pPr>
      <w:r w:rsidRPr="00BA7CD1">
        <w:rPr>
          <w:i/>
        </w:rPr>
        <w:t xml:space="preserve">The Commission foresees an update of this guidance to build on the experience of the first reporting rounds. This guidance will be downloadable directly from the FENIX interface on common indicators. If you have a question on the common indicators that is not answered by this guidance, </w:t>
      </w:r>
      <w:r w:rsidR="00F953A5">
        <w:rPr>
          <w:i/>
        </w:rPr>
        <w:t>please</w:t>
      </w:r>
      <w:r w:rsidRPr="00BA7CD1">
        <w:rPr>
          <w:i/>
        </w:rPr>
        <w:t xml:space="preserve"> send your question to </w:t>
      </w:r>
      <w:hyperlink r:id="rId11" w:history="1">
        <w:r w:rsidRPr="00BA7CD1">
          <w:rPr>
            <w:rStyle w:val="Hyperlink"/>
            <w:i/>
          </w:rPr>
          <w:t>ECFIN-RRF@ec.europa.eu</w:t>
        </w:r>
      </w:hyperlink>
      <w:r w:rsidRPr="00BA7CD1">
        <w:rPr>
          <w:i/>
        </w:rPr>
        <w:t>. All answers will be published in a Q&amp;A document</w:t>
      </w:r>
      <w:r w:rsidR="00BA7CD1">
        <w:rPr>
          <w:i/>
        </w:rPr>
        <w:t>, downloadable</w:t>
      </w:r>
      <w:r w:rsidRPr="00BA7CD1">
        <w:rPr>
          <w:i/>
        </w:rPr>
        <w:t xml:space="preserve"> on the FENIX interface on common indicators</w:t>
      </w:r>
      <w:r w:rsidR="00BA7CD1">
        <w:rPr>
          <w:i/>
        </w:rPr>
        <w:t xml:space="preserve"> and updated regularly</w:t>
      </w:r>
      <w:r w:rsidRPr="00BA7CD1">
        <w:rPr>
          <w:i/>
        </w:rPr>
        <w:t xml:space="preserve">. </w:t>
      </w:r>
    </w:p>
    <w:p w14:paraId="6D660AC8" w14:textId="11EEA1A3" w:rsidR="0072493A" w:rsidRPr="00255291" w:rsidRDefault="00831D8F" w:rsidP="0072493A">
      <w:pPr>
        <w:rPr>
          <w:b/>
        </w:rPr>
      </w:pPr>
      <w:r>
        <w:rPr>
          <w:b/>
        </w:rPr>
        <w:br w:type="page"/>
      </w:r>
    </w:p>
    <w:p w14:paraId="6B9ED512" w14:textId="5B336186" w:rsidR="00831D8F" w:rsidRPr="00831D8F" w:rsidRDefault="00FB64C0" w:rsidP="00831D8F">
      <w:pPr>
        <w:pStyle w:val="Heading1"/>
        <w:numPr>
          <w:ilvl w:val="0"/>
          <w:numId w:val="43"/>
        </w:numPr>
        <w:rPr>
          <w:rFonts w:ascii="Times New Roman" w:hAnsi="Times New Roman" w:cs="Times New Roman"/>
          <w:b/>
          <w:color w:val="auto"/>
          <w:u w:val="single"/>
        </w:rPr>
      </w:pPr>
      <w:bookmarkStart w:id="7" w:name="_Toc93393174"/>
      <w:r w:rsidRPr="00255291">
        <w:rPr>
          <w:rFonts w:ascii="Times New Roman" w:hAnsi="Times New Roman" w:cs="Times New Roman"/>
          <w:b/>
          <w:color w:val="auto"/>
          <w:u w:val="single"/>
        </w:rPr>
        <w:lastRenderedPageBreak/>
        <w:t>Statistical concepts and aggregates</w:t>
      </w:r>
      <w:bookmarkEnd w:id="7"/>
    </w:p>
    <w:p w14:paraId="59CD2497" w14:textId="1F0E71DC" w:rsidR="00FB64C0" w:rsidRPr="00255291" w:rsidRDefault="00FB64C0" w:rsidP="00FB64C0"/>
    <w:tbl>
      <w:tblPr>
        <w:tblStyle w:val="TableGrid"/>
        <w:tblW w:w="0" w:type="auto"/>
        <w:tblLook w:val="04A0" w:firstRow="1" w:lastRow="0" w:firstColumn="1" w:lastColumn="0" w:noHBand="0" w:noVBand="1"/>
      </w:tblPr>
      <w:tblGrid>
        <w:gridCol w:w="2028"/>
        <w:gridCol w:w="7261"/>
      </w:tblGrid>
      <w:tr w:rsidR="00A003EB" w:rsidRPr="00255291" w14:paraId="0CEE92CA" w14:textId="77777777" w:rsidTr="00F51F68">
        <w:tc>
          <w:tcPr>
            <w:tcW w:w="9289" w:type="dxa"/>
            <w:gridSpan w:val="2"/>
            <w:shd w:val="clear" w:color="auto" w:fill="F2F2F2" w:themeFill="background1" w:themeFillShade="F2"/>
          </w:tcPr>
          <w:p w14:paraId="2E018F98" w14:textId="77777777" w:rsidR="00A003EB" w:rsidRPr="00255291" w:rsidRDefault="00A003EB">
            <w:pPr>
              <w:rPr>
                <w:b/>
                <w:bCs/>
              </w:rPr>
            </w:pPr>
            <w:r w:rsidRPr="00255291">
              <w:rPr>
                <w:b/>
                <w:bCs/>
              </w:rPr>
              <w:t>Gender</w:t>
            </w:r>
          </w:p>
        </w:tc>
      </w:tr>
      <w:tr w:rsidR="00A003EB" w:rsidRPr="00255291" w14:paraId="7ECD8471" w14:textId="77777777" w:rsidTr="4A7ACA3B">
        <w:tc>
          <w:tcPr>
            <w:tcW w:w="2028" w:type="dxa"/>
          </w:tcPr>
          <w:p w14:paraId="3781F752" w14:textId="77777777" w:rsidR="00A003EB" w:rsidRPr="00255291" w:rsidRDefault="00A003EB" w:rsidP="4A7ACA3B">
            <w:r w:rsidRPr="00255291">
              <w:t>Definition</w:t>
            </w:r>
          </w:p>
        </w:tc>
        <w:tc>
          <w:tcPr>
            <w:tcW w:w="7261" w:type="dxa"/>
          </w:tcPr>
          <w:p w14:paraId="283A21BF" w14:textId="77777777" w:rsidR="006F681F" w:rsidRDefault="006F681F" w:rsidP="4A7ACA3B">
            <w:r w:rsidRPr="006F681F">
              <w:t xml:space="preserve">Gender refers to an individual's personal and social identity as a man, woman or non-binary person (a person who is not exclusively a man or a woman). </w:t>
            </w:r>
          </w:p>
          <w:p w14:paraId="0FF9D783" w14:textId="08254700" w:rsidR="00A003EB" w:rsidRPr="00255291" w:rsidRDefault="006F681F" w:rsidP="4A7ACA3B">
            <w:r w:rsidRPr="006F681F">
              <w:t>Conceptions of gender vary between cultures, regions and countries</w:t>
            </w:r>
            <w:r>
              <w:t xml:space="preserve">. </w:t>
            </w:r>
            <w:r w:rsidR="00A003EB" w:rsidRPr="00255291">
              <w:t xml:space="preserve">A number of Member States have legal provisions or practices recognising that individuals may not fall into </w:t>
            </w:r>
            <w:r w:rsidR="00423B76" w:rsidRPr="00255291">
              <w:t>either of</w:t>
            </w:r>
            <w:r w:rsidR="00A003EB" w:rsidRPr="00255291">
              <w:t xml:space="preserve"> the two categories (Man or Wom</w:t>
            </w:r>
            <w:r w:rsidR="00121D78">
              <w:t>a</w:t>
            </w:r>
            <w:r w:rsidR="00A003EB" w:rsidRPr="00255291">
              <w:t xml:space="preserve">n) or may not wish to be associated with one of them. For these Member States, these individuals shall be recorded as </w:t>
            </w:r>
            <w:r w:rsidR="0067148F">
              <w:t xml:space="preserve">having a </w:t>
            </w:r>
            <w:r w:rsidR="00A003EB" w:rsidRPr="00255291">
              <w:t>“non-binary”</w:t>
            </w:r>
            <w:r w:rsidR="0067148F">
              <w:t xml:space="preserve"> gender</w:t>
            </w:r>
            <w:r w:rsidR="00A003EB" w:rsidRPr="00255291">
              <w:t xml:space="preserve">.  Gender can therefore be </w:t>
            </w:r>
            <w:r w:rsidR="00121D78">
              <w:t>m</w:t>
            </w:r>
            <w:r w:rsidR="00A003EB" w:rsidRPr="00255291">
              <w:t>en, women or non-binary.</w:t>
            </w:r>
          </w:p>
        </w:tc>
      </w:tr>
    </w:tbl>
    <w:p w14:paraId="2D5EEAAC" w14:textId="77777777" w:rsidR="00A003EB" w:rsidRPr="00255291" w:rsidRDefault="00A003EB" w:rsidP="00FB64C0"/>
    <w:tbl>
      <w:tblPr>
        <w:tblStyle w:val="TableGrid"/>
        <w:tblW w:w="0" w:type="auto"/>
        <w:tblLook w:val="04A0" w:firstRow="1" w:lastRow="0" w:firstColumn="1" w:lastColumn="0" w:noHBand="0" w:noVBand="1"/>
      </w:tblPr>
      <w:tblGrid>
        <w:gridCol w:w="2028"/>
        <w:gridCol w:w="7261"/>
      </w:tblGrid>
      <w:tr w:rsidR="00A003EB" w:rsidRPr="00255291" w14:paraId="7ADBAAD3" w14:textId="77777777" w:rsidTr="00F51F68">
        <w:tc>
          <w:tcPr>
            <w:tcW w:w="9289" w:type="dxa"/>
            <w:gridSpan w:val="2"/>
            <w:shd w:val="clear" w:color="auto" w:fill="F2F2F2" w:themeFill="background1" w:themeFillShade="F2"/>
          </w:tcPr>
          <w:p w14:paraId="2D5D99A2" w14:textId="77777777" w:rsidR="00A003EB" w:rsidRPr="00255291" w:rsidRDefault="00A003EB">
            <w:pPr>
              <w:rPr>
                <w:b/>
                <w:bCs/>
              </w:rPr>
            </w:pPr>
            <w:r w:rsidRPr="00255291">
              <w:rPr>
                <w:b/>
                <w:bCs/>
              </w:rPr>
              <w:t>Age</w:t>
            </w:r>
          </w:p>
        </w:tc>
      </w:tr>
      <w:tr w:rsidR="00A003EB" w:rsidRPr="00255291" w14:paraId="11168288" w14:textId="77777777" w:rsidTr="4A7ACA3B">
        <w:tc>
          <w:tcPr>
            <w:tcW w:w="2028" w:type="dxa"/>
          </w:tcPr>
          <w:p w14:paraId="58354BB9" w14:textId="77777777" w:rsidR="00A003EB" w:rsidRPr="00255291" w:rsidRDefault="00A003EB" w:rsidP="4A7ACA3B">
            <w:r w:rsidRPr="00255291">
              <w:t>Definition</w:t>
            </w:r>
          </w:p>
        </w:tc>
        <w:tc>
          <w:tcPr>
            <w:tcW w:w="7261" w:type="dxa"/>
          </w:tcPr>
          <w:p w14:paraId="0FA6E7C7" w14:textId="21550A37" w:rsidR="00A003EB" w:rsidRPr="00255291" w:rsidRDefault="006F681F" w:rsidP="00DE33B6">
            <w:r w:rsidRPr="006F681F">
              <w:t>Age expressed as the number of birthday anniversaries passed on the date of reference. It is the same as the number of completed years lived by a person</w:t>
            </w:r>
            <w:r>
              <w:t>.</w:t>
            </w:r>
            <w:r w:rsidR="00613EC9">
              <w:t xml:space="preserve"> </w:t>
            </w:r>
            <w:r w:rsidR="001377F0" w:rsidRPr="00255291">
              <w:t xml:space="preserve">There are five </w:t>
            </w:r>
            <w:r w:rsidR="00180D2B" w:rsidRPr="00255291">
              <w:t>age</w:t>
            </w:r>
            <w:r w:rsidR="00423B76" w:rsidRPr="00255291">
              <w:t xml:space="preserve"> </w:t>
            </w:r>
            <w:r w:rsidR="00631E73" w:rsidRPr="00255291">
              <w:t xml:space="preserve">group </w:t>
            </w:r>
            <w:r w:rsidR="001377F0" w:rsidRPr="00255291">
              <w:t xml:space="preserve">disaggregates which are 0-17, 18-29, 30-54, 55 and over. </w:t>
            </w:r>
          </w:p>
        </w:tc>
      </w:tr>
    </w:tbl>
    <w:p w14:paraId="64DF90A3" w14:textId="65FAF57E" w:rsidR="00A003EB" w:rsidRPr="00255291" w:rsidRDefault="00A003EB" w:rsidP="00FB64C0"/>
    <w:tbl>
      <w:tblPr>
        <w:tblStyle w:val="TableGrid"/>
        <w:tblW w:w="0" w:type="auto"/>
        <w:tblLook w:val="04A0" w:firstRow="1" w:lastRow="0" w:firstColumn="1" w:lastColumn="0" w:noHBand="0" w:noVBand="1"/>
      </w:tblPr>
      <w:tblGrid>
        <w:gridCol w:w="2028"/>
        <w:gridCol w:w="7261"/>
      </w:tblGrid>
      <w:tr w:rsidR="00FB64C0" w:rsidRPr="00255291" w14:paraId="310D04FC" w14:textId="77777777" w:rsidTr="00F51F68">
        <w:tc>
          <w:tcPr>
            <w:tcW w:w="9289" w:type="dxa"/>
            <w:gridSpan w:val="2"/>
            <w:shd w:val="clear" w:color="auto" w:fill="F2F2F2" w:themeFill="background1" w:themeFillShade="F2"/>
          </w:tcPr>
          <w:p w14:paraId="6FBC9780" w14:textId="77777777" w:rsidR="00FB64C0" w:rsidRPr="00255291" w:rsidRDefault="00FB64C0">
            <w:pPr>
              <w:rPr>
                <w:b/>
                <w:bCs/>
              </w:rPr>
            </w:pPr>
            <w:r w:rsidRPr="00255291">
              <w:rPr>
                <w:b/>
                <w:bCs/>
              </w:rPr>
              <w:t>Size of enterprise</w:t>
            </w:r>
          </w:p>
        </w:tc>
      </w:tr>
      <w:tr w:rsidR="00FB64C0" w:rsidRPr="00255291" w14:paraId="3E63F118" w14:textId="77777777" w:rsidTr="5516D03A">
        <w:tc>
          <w:tcPr>
            <w:tcW w:w="2028" w:type="dxa"/>
          </w:tcPr>
          <w:p w14:paraId="5B84F835" w14:textId="77777777" w:rsidR="00FB64C0" w:rsidRPr="00255291" w:rsidRDefault="00FB64C0" w:rsidP="00FD7872">
            <w:r w:rsidRPr="00255291">
              <w:t>Definition</w:t>
            </w:r>
          </w:p>
        </w:tc>
        <w:tc>
          <w:tcPr>
            <w:tcW w:w="7261" w:type="dxa"/>
          </w:tcPr>
          <w:p w14:paraId="17330018" w14:textId="77777777" w:rsidR="00FB64C0" w:rsidRPr="00255291" w:rsidRDefault="00FB64C0" w:rsidP="00FD7872">
            <w:r w:rsidRPr="00255291">
              <w:t xml:space="preserve">The enterprise shall be defined as the smallest combination of legal units that is an organisational unit producing goods and services, which benefits from a certain degree of autonomy in decision making, especially for the allocation of its current resources, carrying out one or more activities at one or more locations. An enterprise may be a sole legal unit. Legal units shall include legal persons whose existence is recognised by law independently of the individuals or institutions </w:t>
            </w:r>
            <w:r w:rsidR="00F44225" w:rsidRPr="00255291">
              <w:t>that</w:t>
            </w:r>
            <w:r w:rsidRPr="00255291">
              <w:t xml:space="preserve"> may own them or are members of them, such as general partnerships, private limited partnerships, limited liability companies, incorporated companies etc. Legal units shall also include natural persons who are engaged in an economic activity in their own right, such as the owner and operator of a shop or a garage, a lawyer or a self-employed handicrafts person (</w:t>
            </w:r>
            <w:r w:rsidR="000F0B36" w:rsidRPr="00255291">
              <w:t>Commission (Eurostat)</w:t>
            </w:r>
            <w:r w:rsidRPr="00255291">
              <w:t>, based on Council Regulation (EEC) No. 696/93, Section III A of 15.03.1993).</w:t>
            </w:r>
          </w:p>
          <w:p w14:paraId="1A974F58" w14:textId="77777777" w:rsidR="00FB64C0" w:rsidRPr="00255291" w:rsidRDefault="00FB64C0" w:rsidP="00FD7872">
            <w:r w:rsidRPr="00255291">
              <w:t>For the purpose of the indicators, enterprises shall be defined as profit-oriented organisations that produce goods and services to satisfy market needs.  See the classification of enterprises below.</w:t>
            </w:r>
          </w:p>
          <w:p w14:paraId="54BBA98A" w14:textId="6A07AE9E" w:rsidR="00FB64C0" w:rsidRPr="00255291" w:rsidRDefault="00FB64C0" w:rsidP="00FD7872">
            <w:r w:rsidRPr="00255291">
              <w:t xml:space="preserve">The size of the enterprise supported shall be measured at the start of the </w:t>
            </w:r>
            <w:r w:rsidR="002F4A04" w:rsidRPr="00255291">
              <w:lastRenderedPageBreak/>
              <w:t xml:space="preserve">RRF </w:t>
            </w:r>
            <w:r w:rsidRPr="00255291">
              <w:t xml:space="preserve">support. </w:t>
            </w:r>
          </w:p>
        </w:tc>
      </w:tr>
      <w:tr w:rsidR="00FB64C0" w:rsidRPr="00255291" w14:paraId="246F3A5B" w14:textId="77777777" w:rsidTr="5516D03A">
        <w:tc>
          <w:tcPr>
            <w:tcW w:w="2028" w:type="dxa"/>
          </w:tcPr>
          <w:p w14:paraId="1B24F705" w14:textId="77777777" w:rsidR="00FB64C0" w:rsidRPr="00255291" w:rsidRDefault="00FB64C0" w:rsidP="00FD7872">
            <w:r w:rsidRPr="00255291">
              <w:lastRenderedPageBreak/>
              <w:t>Classification</w:t>
            </w:r>
          </w:p>
        </w:tc>
        <w:tc>
          <w:tcPr>
            <w:tcW w:w="7261" w:type="dxa"/>
          </w:tcPr>
          <w:p w14:paraId="51E39F9D" w14:textId="4789CB61" w:rsidR="00FB64C0" w:rsidRPr="00255291" w:rsidRDefault="00FB64C0" w:rsidP="00FD7872">
            <w:r w:rsidRPr="00255291">
              <w:t>If either of the 2 thresholds (employees and self-employed and annual turnover/balance sheet) is exceeded the enterprises shall be categorised in the size category above; (Commission (Eurostat) based on EC Recommendation 2003/361/EC, Annex, Articles 2-3)</w:t>
            </w:r>
            <w:r w:rsidR="00BF490B" w:rsidRPr="00255291">
              <w:t>.</w:t>
            </w:r>
          </w:p>
        </w:tc>
      </w:tr>
      <w:tr w:rsidR="00FB64C0" w:rsidRPr="00255291" w14:paraId="4F6DEBCE" w14:textId="77777777" w:rsidTr="5516D03A">
        <w:tc>
          <w:tcPr>
            <w:tcW w:w="2028" w:type="dxa"/>
          </w:tcPr>
          <w:p w14:paraId="5A1E733F" w14:textId="77777777" w:rsidR="00FB64C0" w:rsidRPr="00255291" w:rsidRDefault="00FB64C0" w:rsidP="00FD7872">
            <w:r w:rsidRPr="00255291">
              <w:t xml:space="preserve">Small </w:t>
            </w:r>
          </w:p>
        </w:tc>
        <w:tc>
          <w:tcPr>
            <w:tcW w:w="7261" w:type="dxa"/>
          </w:tcPr>
          <w:p w14:paraId="5D382EF2" w14:textId="77777777" w:rsidR="00FB64C0" w:rsidRPr="00255291" w:rsidRDefault="00FB64C0" w:rsidP="00FD7872">
            <w:r w:rsidRPr="00255291">
              <w:t>Small, including micro, enterprise (0-49 employees and self-employed and annual turnover -≤ EUR 10 million or balance sheet - ≤ EUR 10 million).</w:t>
            </w:r>
          </w:p>
        </w:tc>
      </w:tr>
      <w:tr w:rsidR="00FB64C0" w:rsidRPr="00255291" w14:paraId="6784B775" w14:textId="77777777" w:rsidTr="5516D03A">
        <w:tc>
          <w:tcPr>
            <w:tcW w:w="2028" w:type="dxa"/>
          </w:tcPr>
          <w:p w14:paraId="46FC1B45" w14:textId="77777777" w:rsidR="00FB64C0" w:rsidRPr="00255291" w:rsidRDefault="00FB64C0" w:rsidP="00FD7872">
            <w:r w:rsidRPr="00255291">
              <w:t>Medium</w:t>
            </w:r>
          </w:p>
        </w:tc>
        <w:tc>
          <w:tcPr>
            <w:tcW w:w="7261" w:type="dxa"/>
          </w:tcPr>
          <w:p w14:paraId="50AF1350" w14:textId="77777777" w:rsidR="00FB64C0" w:rsidRPr="00255291" w:rsidRDefault="00FB64C0" w:rsidP="00FD7872">
            <w:r w:rsidRPr="00255291">
              <w:t>Medium enterprise (50-249 employees and self-employed and annual turnover &gt;EUR 10 million - ≤ EUR 50 million or balance sheet &gt; EUR 10 million -≤ EUR 43 million).</w:t>
            </w:r>
          </w:p>
        </w:tc>
      </w:tr>
      <w:tr w:rsidR="00FB64C0" w:rsidRPr="00255291" w14:paraId="4DE377AC" w14:textId="77777777" w:rsidTr="5516D03A">
        <w:tc>
          <w:tcPr>
            <w:tcW w:w="2028" w:type="dxa"/>
          </w:tcPr>
          <w:p w14:paraId="697EE3B6" w14:textId="77777777" w:rsidR="00FB64C0" w:rsidRPr="00255291" w:rsidRDefault="00FB64C0" w:rsidP="00FD7872">
            <w:r w:rsidRPr="00255291">
              <w:t>Large</w:t>
            </w:r>
          </w:p>
        </w:tc>
        <w:tc>
          <w:tcPr>
            <w:tcW w:w="7261" w:type="dxa"/>
          </w:tcPr>
          <w:p w14:paraId="43F29FA6" w14:textId="77777777" w:rsidR="00FB64C0" w:rsidRPr="00255291" w:rsidRDefault="00FB64C0" w:rsidP="00FD7872">
            <w:r w:rsidRPr="00255291">
              <w:t>Large enterprises (&gt;250 employees and self-employed and turnover &gt; EUR 50 million or balance sheet &gt; EUR 43 million).</w:t>
            </w:r>
          </w:p>
        </w:tc>
      </w:tr>
    </w:tbl>
    <w:p w14:paraId="4939E718" w14:textId="7CF48C7A" w:rsidR="00FB64C0" w:rsidRPr="00831D8F" w:rsidRDefault="006D57FD" w:rsidP="00831D8F">
      <w:pPr>
        <w:pStyle w:val="ListParagraph"/>
        <w:ind w:left="360"/>
        <w:rPr>
          <w:b/>
        </w:rPr>
      </w:pPr>
      <w:r w:rsidRPr="00255291">
        <w:rPr>
          <w:b/>
        </w:rPr>
        <w:br w:type="page"/>
      </w:r>
    </w:p>
    <w:p w14:paraId="061FB686" w14:textId="01B8A12A" w:rsidR="00FB64C0" w:rsidRDefault="00FB64C0" w:rsidP="00831D8F">
      <w:pPr>
        <w:pStyle w:val="Heading1"/>
        <w:numPr>
          <w:ilvl w:val="0"/>
          <w:numId w:val="43"/>
        </w:numPr>
        <w:rPr>
          <w:rFonts w:ascii="Times New Roman" w:hAnsi="Times New Roman" w:cs="Times New Roman"/>
          <w:b/>
          <w:color w:val="auto"/>
          <w:u w:val="single"/>
        </w:rPr>
      </w:pPr>
      <w:bookmarkStart w:id="8" w:name="_Toc93393175"/>
      <w:r w:rsidRPr="00255291">
        <w:rPr>
          <w:rFonts w:ascii="Times New Roman" w:hAnsi="Times New Roman" w:cs="Times New Roman"/>
          <w:b/>
          <w:color w:val="auto"/>
          <w:u w:val="single"/>
        </w:rPr>
        <w:lastRenderedPageBreak/>
        <w:t>Common indicators</w:t>
      </w:r>
      <w:bookmarkEnd w:id="8"/>
    </w:p>
    <w:p w14:paraId="43971065" w14:textId="77777777" w:rsidR="00831D8F" w:rsidRPr="00831D8F" w:rsidRDefault="00831D8F" w:rsidP="00831D8F"/>
    <w:p w14:paraId="14E04D0D" w14:textId="0C1AEEB7" w:rsidR="000F2EC4" w:rsidRDefault="00FB64C0" w:rsidP="001F5716">
      <w:pPr>
        <w:pStyle w:val="Heading2"/>
        <w:numPr>
          <w:ilvl w:val="1"/>
          <w:numId w:val="43"/>
        </w:numPr>
        <w:rPr>
          <w:rFonts w:ascii="Times New Roman" w:hAnsi="Times New Roman" w:cs="Times New Roman"/>
          <w:b/>
          <w:color w:val="auto"/>
        </w:rPr>
      </w:pPr>
      <w:bookmarkStart w:id="9" w:name="_Toc93393176"/>
      <w:r w:rsidRPr="00255291">
        <w:rPr>
          <w:rFonts w:ascii="Times New Roman" w:hAnsi="Times New Roman" w:cs="Times New Roman"/>
          <w:b/>
          <w:color w:val="auto"/>
        </w:rPr>
        <w:t>Savings in annual primary energy consumption</w:t>
      </w:r>
      <w:bookmarkEnd w:id="9"/>
    </w:p>
    <w:p w14:paraId="5875E3BD" w14:textId="77777777" w:rsidR="001F5716" w:rsidRPr="001F5716" w:rsidRDefault="001F5716" w:rsidP="001F5716"/>
    <w:tbl>
      <w:tblPr>
        <w:tblStyle w:val="TableGrid"/>
        <w:tblW w:w="9475" w:type="dxa"/>
        <w:tblLook w:val="04A0" w:firstRow="1" w:lastRow="0" w:firstColumn="1" w:lastColumn="0" w:noHBand="0" w:noVBand="1"/>
      </w:tblPr>
      <w:tblGrid>
        <w:gridCol w:w="2028"/>
        <w:gridCol w:w="7447"/>
      </w:tblGrid>
      <w:tr w:rsidR="00FB64C0" w:rsidRPr="00255291" w14:paraId="093F8D0F" w14:textId="77777777" w:rsidTr="009A1BE7">
        <w:tc>
          <w:tcPr>
            <w:tcW w:w="2028" w:type="dxa"/>
          </w:tcPr>
          <w:p w14:paraId="57DAE816" w14:textId="77777777" w:rsidR="00FB64C0" w:rsidRPr="009A1BE7" w:rsidRDefault="00FB64C0" w:rsidP="00FD7872">
            <w:pPr>
              <w:rPr>
                <w:sz w:val="20"/>
              </w:rPr>
            </w:pPr>
            <w:r w:rsidRPr="009A1BE7">
              <w:rPr>
                <w:sz w:val="20"/>
              </w:rPr>
              <w:t>Indicator code</w:t>
            </w:r>
          </w:p>
        </w:tc>
        <w:tc>
          <w:tcPr>
            <w:tcW w:w="7447" w:type="dxa"/>
          </w:tcPr>
          <w:p w14:paraId="04068596" w14:textId="77777777" w:rsidR="00FB64C0" w:rsidRPr="009A1BE7" w:rsidRDefault="00FB64C0" w:rsidP="00FD7872">
            <w:pPr>
              <w:rPr>
                <w:sz w:val="20"/>
              </w:rPr>
            </w:pPr>
            <w:r w:rsidRPr="009A1BE7">
              <w:rPr>
                <w:sz w:val="20"/>
              </w:rPr>
              <w:t>RRFCI01</w:t>
            </w:r>
          </w:p>
        </w:tc>
      </w:tr>
      <w:tr w:rsidR="00FB64C0" w:rsidRPr="00255291" w14:paraId="520F5C90" w14:textId="77777777" w:rsidTr="009A1BE7">
        <w:tc>
          <w:tcPr>
            <w:tcW w:w="2028" w:type="dxa"/>
            <w:shd w:val="clear" w:color="auto" w:fill="auto"/>
          </w:tcPr>
          <w:p w14:paraId="66132973" w14:textId="77777777" w:rsidR="00FB64C0" w:rsidRPr="009A1BE7" w:rsidRDefault="00FB64C0" w:rsidP="00FD7872">
            <w:pPr>
              <w:rPr>
                <w:sz w:val="20"/>
              </w:rPr>
            </w:pPr>
            <w:r w:rsidRPr="009A1BE7">
              <w:rPr>
                <w:sz w:val="20"/>
              </w:rPr>
              <w:t>Indicator Name</w:t>
            </w:r>
          </w:p>
        </w:tc>
        <w:tc>
          <w:tcPr>
            <w:tcW w:w="7447" w:type="dxa"/>
            <w:shd w:val="clear" w:color="auto" w:fill="auto"/>
          </w:tcPr>
          <w:p w14:paraId="082A190A" w14:textId="77777777" w:rsidR="00FB64C0" w:rsidRPr="009A1BE7" w:rsidRDefault="00FB64C0" w:rsidP="00FD7872">
            <w:pPr>
              <w:rPr>
                <w:sz w:val="20"/>
              </w:rPr>
            </w:pPr>
            <w:r w:rsidRPr="009A1BE7">
              <w:rPr>
                <w:sz w:val="20"/>
              </w:rPr>
              <w:t>Savings in annual primary energy consumption</w:t>
            </w:r>
          </w:p>
        </w:tc>
      </w:tr>
      <w:tr w:rsidR="00FB64C0" w:rsidRPr="00255291" w14:paraId="24450B81" w14:textId="77777777" w:rsidTr="009A1BE7">
        <w:tc>
          <w:tcPr>
            <w:tcW w:w="2028" w:type="dxa"/>
            <w:shd w:val="clear" w:color="auto" w:fill="auto"/>
          </w:tcPr>
          <w:p w14:paraId="325EE88A" w14:textId="77777777" w:rsidR="00FB64C0" w:rsidRPr="009A1BE7" w:rsidRDefault="00FB64C0" w:rsidP="00FD7872">
            <w:pPr>
              <w:rPr>
                <w:sz w:val="20"/>
              </w:rPr>
            </w:pPr>
            <w:r w:rsidRPr="009A1BE7">
              <w:rPr>
                <w:sz w:val="20"/>
              </w:rPr>
              <w:t>Measurement unit</w:t>
            </w:r>
          </w:p>
        </w:tc>
        <w:tc>
          <w:tcPr>
            <w:tcW w:w="7447" w:type="dxa"/>
            <w:shd w:val="clear" w:color="auto" w:fill="auto"/>
          </w:tcPr>
          <w:p w14:paraId="7E0BC301" w14:textId="77777777" w:rsidR="00FB64C0" w:rsidRPr="009A1BE7" w:rsidRDefault="00FB64C0" w:rsidP="00FD7872">
            <w:pPr>
              <w:rPr>
                <w:sz w:val="20"/>
              </w:rPr>
            </w:pPr>
            <w:r w:rsidRPr="009A1BE7">
              <w:rPr>
                <w:sz w:val="20"/>
              </w:rPr>
              <w:t>MWh/year</w:t>
            </w:r>
          </w:p>
        </w:tc>
      </w:tr>
      <w:tr w:rsidR="00D0748F" w:rsidRPr="00255291" w14:paraId="4BF92940" w14:textId="77777777" w:rsidTr="009A1BE7">
        <w:tc>
          <w:tcPr>
            <w:tcW w:w="2028" w:type="dxa"/>
            <w:shd w:val="clear" w:color="auto" w:fill="auto"/>
          </w:tcPr>
          <w:p w14:paraId="75B7430A" w14:textId="3F98FEEA" w:rsidR="00D0748F" w:rsidRPr="009A1BE7" w:rsidRDefault="00D0748F" w:rsidP="00FD7872">
            <w:pPr>
              <w:rPr>
                <w:sz w:val="20"/>
              </w:rPr>
            </w:pPr>
            <w:r w:rsidRPr="009A1BE7">
              <w:rPr>
                <w:sz w:val="20"/>
              </w:rPr>
              <w:t>Type of indicator</w:t>
            </w:r>
          </w:p>
        </w:tc>
        <w:tc>
          <w:tcPr>
            <w:tcW w:w="7447" w:type="dxa"/>
            <w:shd w:val="clear" w:color="auto" w:fill="auto"/>
          </w:tcPr>
          <w:p w14:paraId="1293D258" w14:textId="4074D051" w:rsidR="00D0748F" w:rsidRPr="009A1BE7" w:rsidRDefault="00D0748F" w:rsidP="00FD7872">
            <w:pPr>
              <w:rPr>
                <w:sz w:val="20"/>
              </w:rPr>
            </w:pPr>
            <w:r w:rsidRPr="009A1BE7">
              <w:rPr>
                <w:sz w:val="20"/>
              </w:rPr>
              <w:t xml:space="preserve">Stock </w:t>
            </w:r>
          </w:p>
        </w:tc>
      </w:tr>
      <w:tr w:rsidR="00597BFE" w:rsidRPr="00255291" w14:paraId="657573E9" w14:textId="77777777" w:rsidTr="009A1BE7">
        <w:tc>
          <w:tcPr>
            <w:tcW w:w="2028" w:type="dxa"/>
            <w:shd w:val="clear" w:color="auto" w:fill="auto"/>
          </w:tcPr>
          <w:p w14:paraId="07D71D5F" w14:textId="77777777" w:rsidR="00597BFE" w:rsidRPr="009A1BE7" w:rsidRDefault="00597BFE" w:rsidP="00FD7872">
            <w:pPr>
              <w:rPr>
                <w:sz w:val="20"/>
              </w:rPr>
            </w:pPr>
            <w:r w:rsidRPr="009A1BE7">
              <w:rPr>
                <w:sz w:val="20"/>
              </w:rPr>
              <w:t>Baseline</w:t>
            </w:r>
          </w:p>
        </w:tc>
        <w:tc>
          <w:tcPr>
            <w:tcW w:w="7447" w:type="dxa"/>
            <w:shd w:val="clear" w:color="auto" w:fill="auto"/>
          </w:tcPr>
          <w:p w14:paraId="0FDB270A" w14:textId="14BE71E0" w:rsidR="00597BFE" w:rsidRPr="009A1BE7" w:rsidRDefault="00976D4C">
            <w:pPr>
              <w:rPr>
                <w:sz w:val="20"/>
              </w:rPr>
            </w:pPr>
            <w:r w:rsidRPr="009A1BE7">
              <w:rPr>
                <w:sz w:val="20"/>
              </w:rPr>
              <w:t>Initially 0, subsequently adjusted to the achieved value of the previous reporting round</w:t>
            </w:r>
          </w:p>
        </w:tc>
      </w:tr>
      <w:tr w:rsidR="00FB64C0" w:rsidRPr="00255291" w14:paraId="285837F0" w14:textId="77777777" w:rsidTr="009A1BE7">
        <w:tc>
          <w:tcPr>
            <w:tcW w:w="2028" w:type="dxa"/>
            <w:shd w:val="clear" w:color="auto" w:fill="auto"/>
          </w:tcPr>
          <w:p w14:paraId="65ECA435" w14:textId="77777777" w:rsidR="00FB64C0" w:rsidRPr="009A1BE7" w:rsidRDefault="00FB64C0" w:rsidP="00FD7872">
            <w:pPr>
              <w:rPr>
                <w:sz w:val="20"/>
              </w:rPr>
            </w:pPr>
            <w:r w:rsidRPr="009A1BE7">
              <w:rPr>
                <w:sz w:val="20"/>
              </w:rPr>
              <w:t>RRF Pillars</w:t>
            </w:r>
          </w:p>
        </w:tc>
        <w:tc>
          <w:tcPr>
            <w:tcW w:w="7447" w:type="dxa"/>
            <w:shd w:val="clear" w:color="auto" w:fill="auto"/>
          </w:tcPr>
          <w:p w14:paraId="42647B0B" w14:textId="77777777" w:rsidR="00FB64C0" w:rsidRPr="009A1BE7" w:rsidRDefault="00FB64C0" w:rsidP="00FD7872">
            <w:pPr>
              <w:rPr>
                <w:sz w:val="20"/>
              </w:rPr>
            </w:pPr>
            <w:r w:rsidRPr="009A1BE7">
              <w:rPr>
                <w:sz w:val="20"/>
              </w:rPr>
              <w:t>Pillar 1 Green transition</w:t>
            </w:r>
          </w:p>
          <w:p w14:paraId="23D11D27" w14:textId="77777777" w:rsidR="00FB64C0" w:rsidRPr="009A1BE7" w:rsidRDefault="00FB64C0" w:rsidP="00FD7872">
            <w:pPr>
              <w:rPr>
                <w:sz w:val="20"/>
              </w:rPr>
            </w:pPr>
            <w:r w:rsidRPr="009A1BE7">
              <w:rPr>
                <w:sz w:val="20"/>
              </w:rPr>
              <w:t>Pillar 3 Smart, sustainable and inclusive growth, including economic cohesion, jobs, productivity, competitiveness, research, development and innovation, and a well-functioning internal market with strong SMEs</w:t>
            </w:r>
          </w:p>
        </w:tc>
      </w:tr>
      <w:tr w:rsidR="00FB64C0" w:rsidRPr="00255291" w14:paraId="1197CB34" w14:textId="77777777" w:rsidTr="009A1BE7">
        <w:tc>
          <w:tcPr>
            <w:tcW w:w="2028" w:type="dxa"/>
            <w:shd w:val="clear" w:color="auto" w:fill="auto"/>
          </w:tcPr>
          <w:p w14:paraId="5B66B2B3" w14:textId="77777777" w:rsidR="00FB64C0" w:rsidRPr="009A1BE7" w:rsidRDefault="00FB64C0" w:rsidP="00FD7872">
            <w:pPr>
              <w:rPr>
                <w:sz w:val="20"/>
              </w:rPr>
            </w:pPr>
            <w:r w:rsidRPr="009A1BE7">
              <w:rPr>
                <w:sz w:val="20"/>
              </w:rPr>
              <w:t>Definition and concepts</w:t>
            </w:r>
          </w:p>
        </w:tc>
        <w:tc>
          <w:tcPr>
            <w:tcW w:w="7447" w:type="dxa"/>
            <w:shd w:val="clear" w:color="auto" w:fill="auto"/>
          </w:tcPr>
          <w:p w14:paraId="7C180174" w14:textId="77777777" w:rsidR="009B6D2D" w:rsidRPr="009A1BE7" w:rsidRDefault="00FB64C0">
            <w:pPr>
              <w:rPr>
                <w:sz w:val="20"/>
              </w:rPr>
            </w:pPr>
            <w:r w:rsidRPr="009A1BE7">
              <w:rPr>
                <w:sz w:val="20"/>
              </w:rPr>
              <w:t>Total annual primary energy consumption reduction for supported entities due to support fro</w:t>
            </w:r>
            <w:r w:rsidRPr="009A1BE7">
              <w:rPr>
                <w:sz w:val="20"/>
                <w:lang w:val="en-US"/>
              </w:rPr>
              <w:t>m measures under the Facility</w:t>
            </w:r>
            <w:r w:rsidRPr="009A1BE7">
              <w:rPr>
                <w:sz w:val="20"/>
              </w:rPr>
              <w:t xml:space="preserve">. The </w:t>
            </w:r>
            <w:r w:rsidR="00E4461F" w:rsidRPr="009A1BE7">
              <w:rPr>
                <w:sz w:val="20"/>
              </w:rPr>
              <w:t>value reported is the primary energy consumption savings (expressed in annual terms) due to measures supported by the RRF and implemented during the reporting period.</w:t>
            </w:r>
            <w:r w:rsidRPr="009A1BE7">
              <w:rPr>
                <w:sz w:val="20"/>
              </w:rPr>
              <w:t xml:space="preserve"> </w:t>
            </w:r>
            <w:r w:rsidR="009B6D2D" w:rsidRPr="009A1BE7">
              <w:rPr>
                <w:sz w:val="20"/>
              </w:rPr>
              <w:t xml:space="preserve">The aim is to be able to assess the savings that can be achieved on an annual basis thanks to the RRF. </w:t>
            </w:r>
          </w:p>
          <w:p w14:paraId="0DE265EE" w14:textId="5AB8D190" w:rsidR="00FB64C0" w:rsidRPr="009A1BE7" w:rsidRDefault="00FB64C0">
            <w:pPr>
              <w:rPr>
                <w:sz w:val="20"/>
              </w:rPr>
            </w:pPr>
            <w:r w:rsidRPr="009A1BE7">
              <w:rPr>
                <w:sz w:val="20"/>
              </w:rPr>
              <w:t>For buildings, interventions shall be sufficiently documented to be able to calculate these values, for example by using Energy Performance Certificates or other monitoring systems respecting the criteria as set in Article 10.6 of the Energy Performance of Building Directive. For processes in enterprises, the annual primary energy consumption shall be documented based on energy audits in line with Article 8 of the Energy Efficiency Directive (2012/27/EU)</w:t>
            </w:r>
            <w:r w:rsidR="00A6167D" w:rsidRPr="009A1BE7">
              <w:rPr>
                <w:sz w:val="20"/>
              </w:rPr>
              <w:t>,</w:t>
            </w:r>
            <w:r w:rsidRPr="009A1BE7">
              <w:rPr>
                <w:sz w:val="20"/>
              </w:rPr>
              <w:t xml:space="preserve"> or other relevant technical specifications.</w:t>
            </w:r>
          </w:p>
          <w:p w14:paraId="416D1A53" w14:textId="77777777" w:rsidR="00FB64C0" w:rsidRPr="009A1BE7" w:rsidRDefault="00FB64C0" w:rsidP="00FD7872">
            <w:pPr>
              <w:rPr>
                <w:sz w:val="20"/>
              </w:rPr>
            </w:pPr>
            <w:r w:rsidRPr="009A1BE7">
              <w:rPr>
                <w:sz w:val="20"/>
              </w:rPr>
              <w:t xml:space="preserve">Public buildings shall be defined as buildings owned by public authorities and buildings owned by a non-profit organisation, provided that such bodies pursue objectives of general interest such as education, health, environment and transport. Examples include building for public administration, schools, hospitals etc. </w:t>
            </w:r>
          </w:p>
        </w:tc>
      </w:tr>
      <w:tr w:rsidR="00FB64C0" w:rsidRPr="00255291" w14:paraId="429E9529" w14:textId="77777777" w:rsidTr="009A1BE7">
        <w:trPr>
          <w:trHeight w:val="960"/>
        </w:trPr>
        <w:tc>
          <w:tcPr>
            <w:tcW w:w="2028" w:type="dxa"/>
          </w:tcPr>
          <w:p w14:paraId="075B56B2" w14:textId="22DCE4E1" w:rsidR="00FB64C0" w:rsidRPr="009A1BE7" w:rsidRDefault="00FB64C0" w:rsidP="0028074E">
            <w:pPr>
              <w:rPr>
                <w:sz w:val="20"/>
              </w:rPr>
            </w:pPr>
            <w:r w:rsidRPr="009A1BE7">
              <w:rPr>
                <w:sz w:val="20"/>
              </w:rPr>
              <w:t>Time measurement</w:t>
            </w:r>
            <w:r w:rsidR="009B6D2D" w:rsidRPr="009A1BE7">
              <w:rPr>
                <w:sz w:val="20"/>
              </w:rPr>
              <w:t xml:space="preserve"> </w:t>
            </w:r>
          </w:p>
        </w:tc>
        <w:tc>
          <w:tcPr>
            <w:tcW w:w="7447" w:type="dxa"/>
            <w:tcBorders>
              <w:top w:val="nil"/>
              <w:left w:val="nil"/>
              <w:bottom w:val="single" w:sz="4" w:space="0" w:color="auto"/>
              <w:right w:val="single" w:sz="4" w:space="0" w:color="auto"/>
            </w:tcBorders>
            <w:shd w:val="clear" w:color="auto" w:fill="auto"/>
          </w:tcPr>
          <w:p w14:paraId="1A22C2F9" w14:textId="2A20468C" w:rsidR="00FB64C0" w:rsidRPr="009A1BE7" w:rsidRDefault="00FB64C0" w:rsidP="00FD7872">
            <w:pPr>
              <w:rPr>
                <w:sz w:val="20"/>
              </w:rPr>
            </w:pPr>
            <w:r w:rsidRPr="009A1BE7">
              <w:rPr>
                <w:noProof/>
                <w:color w:val="000000"/>
                <w:sz w:val="20"/>
                <w:lang w:val="en-IE" w:eastAsia="en-IE"/>
              </w:rPr>
              <w:t>Upon completion of output and issuance of the energy performance certificate, energy audit or other relevant technical specification</w:t>
            </w:r>
            <w:r w:rsidR="00AF1DAB" w:rsidRPr="009A1BE7">
              <w:rPr>
                <w:noProof/>
                <w:color w:val="000000"/>
                <w:sz w:val="20"/>
                <w:lang w:val="en-IE" w:eastAsia="en-IE"/>
              </w:rPr>
              <w:t xml:space="preserve"> </w:t>
            </w:r>
            <w:r w:rsidR="00AF1DAB" w:rsidRPr="009A1BE7">
              <w:rPr>
                <w:sz w:val="20"/>
                <w:lang w:val="en-IE"/>
              </w:rPr>
              <w:t>(as defined in the general principles)</w:t>
            </w:r>
            <w:r w:rsidRPr="009A1BE7">
              <w:rPr>
                <w:noProof/>
                <w:color w:val="000000"/>
                <w:sz w:val="20"/>
                <w:lang w:val="en-IE" w:eastAsia="en-IE"/>
              </w:rPr>
              <w:t>.</w:t>
            </w:r>
          </w:p>
        </w:tc>
      </w:tr>
      <w:tr w:rsidR="0028074E" w:rsidRPr="00255291" w14:paraId="07D04015" w14:textId="77777777" w:rsidTr="009A1BE7">
        <w:trPr>
          <w:trHeight w:val="1730"/>
        </w:trPr>
        <w:tc>
          <w:tcPr>
            <w:tcW w:w="2028" w:type="dxa"/>
            <w:tcBorders>
              <w:top w:val="single" w:sz="4" w:space="0" w:color="auto"/>
            </w:tcBorders>
          </w:tcPr>
          <w:p w14:paraId="7681D81B" w14:textId="5D1A8632" w:rsidR="0028074E" w:rsidRPr="009A1BE7" w:rsidRDefault="0028074E" w:rsidP="0028074E">
            <w:pPr>
              <w:rPr>
                <w:sz w:val="20"/>
              </w:rPr>
            </w:pPr>
            <w:r w:rsidRPr="009A1BE7">
              <w:rPr>
                <w:sz w:val="20"/>
              </w:rPr>
              <w:t>Counting methodology</w:t>
            </w:r>
          </w:p>
        </w:tc>
        <w:tc>
          <w:tcPr>
            <w:tcW w:w="7447" w:type="dxa"/>
            <w:tcBorders>
              <w:top w:val="single" w:sz="4" w:space="0" w:color="auto"/>
              <w:left w:val="nil"/>
              <w:bottom w:val="single" w:sz="4" w:space="0" w:color="auto"/>
              <w:right w:val="single" w:sz="4" w:space="0" w:color="auto"/>
            </w:tcBorders>
            <w:shd w:val="clear" w:color="auto" w:fill="auto"/>
          </w:tcPr>
          <w:p w14:paraId="35984CCD" w14:textId="77777777" w:rsidR="0028074E" w:rsidRPr="009A1BE7" w:rsidRDefault="0028074E" w:rsidP="0028074E">
            <w:pPr>
              <w:rPr>
                <w:noProof/>
                <w:color w:val="000000"/>
                <w:sz w:val="20"/>
                <w:lang w:val="en-IE" w:eastAsia="en-IE"/>
              </w:rPr>
            </w:pPr>
            <w:r w:rsidRPr="009A1BE7">
              <w:rPr>
                <w:noProof/>
                <w:color w:val="000000"/>
                <w:sz w:val="20"/>
                <w:lang w:val="en-IE" w:eastAsia="en-IE"/>
              </w:rPr>
              <w:t xml:space="preserve">The acheived value should be calculated by susbtracting the energy consumption before the intervention by the new energy consumption (either estimated or real) after the intervention. </w:t>
            </w:r>
          </w:p>
          <w:p w14:paraId="6E4C7FD0" w14:textId="2EC72D44" w:rsidR="0028074E" w:rsidRPr="009A1BE7" w:rsidRDefault="0028074E" w:rsidP="0028074E">
            <w:pPr>
              <w:rPr>
                <w:noProof/>
                <w:color w:val="000000"/>
                <w:sz w:val="20"/>
                <w:lang w:val="en-IE" w:eastAsia="en-IE"/>
              </w:rPr>
            </w:pPr>
            <w:r w:rsidRPr="009A1BE7">
              <w:rPr>
                <w:noProof/>
                <w:color w:val="000000"/>
                <w:sz w:val="20"/>
                <w:lang w:val="en-IE" w:eastAsia="en-IE"/>
              </w:rPr>
              <w:t>Energy savings of a renovated unit shall only be counted once</w:t>
            </w:r>
            <w:r w:rsidRPr="009A1BE7">
              <w:rPr>
                <w:noProof/>
                <w:color w:val="000000"/>
                <w:sz w:val="20"/>
                <w:lang w:eastAsia="en-IE"/>
              </w:rPr>
              <w:t xml:space="preserve">, upon finalisation fo the intervention.  </w:t>
            </w:r>
          </w:p>
        </w:tc>
      </w:tr>
      <w:tr w:rsidR="00FB64C0" w:rsidRPr="00255291" w14:paraId="740E881F" w14:textId="77777777" w:rsidTr="009A1BE7">
        <w:tc>
          <w:tcPr>
            <w:tcW w:w="2028" w:type="dxa"/>
          </w:tcPr>
          <w:p w14:paraId="58CD2367" w14:textId="77777777" w:rsidR="00FB64C0" w:rsidRPr="009A1BE7" w:rsidRDefault="00FB64C0" w:rsidP="00FD7872">
            <w:pPr>
              <w:rPr>
                <w:sz w:val="20"/>
              </w:rPr>
            </w:pPr>
            <w:r w:rsidRPr="009A1BE7">
              <w:rPr>
                <w:sz w:val="20"/>
              </w:rPr>
              <w:t xml:space="preserve">Disaggregation </w:t>
            </w:r>
          </w:p>
        </w:tc>
        <w:tc>
          <w:tcPr>
            <w:tcW w:w="7447" w:type="dxa"/>
          </w:tcPr>
          <w:p w14:paraId="50D41AA2" w14:textId="77777777" w:rsidR="00FB64C0" w:rsidRPr="009A1BE7" w:rsidRDefault="00FB64C0" w:rsidP="00FD7872">
            <w:pPr>
              <w:rPr>
                <w:sz w:val="20"/>
              </w:rPr>
            </w:pPr>
            <w:r w:rsidRPr="009A1BE7">
              <w:rPr>
                <w:sz w:val="20"/>
              </w:rPr>
              <w:t>None.</w:t>
            </w:r>
          </w:p>
        </w:tc>
      </w:tr>
      <w:tr w:rsidR="00FB64C0" w:rsidRPr="00255291" w14:paraId="39219F27" w14:textId="77777777" w:rsidTr="009A1BE7">
        <w:tc>
          <w:tcPr>
            <w:tcW w:w="2028" w:type="dxa"/>
          </w:tcPr>
          <w:p w14:paraId="6C891435" w14:textId="77777777" w:rsidR="00FB64C0" w:rsidRPr="009A1BE7" w:rsidRDefault="00FB64C0" w:rsidP="00FD7872">
            <w:pPr>
              <w:rPr>
                <w:sz w:val="20"/>
              </w:rPr>
            </w:pPr>
            <w:r w:rsidRPr="009A1BE7">
              <w:rPr>
                <w:sz w:val="20"/>
              </w:rPr>
              <w:t>References</w:t>
            </w:r>
          </w:p>
        </w:tc>
        <w:tc>
          <w:tcPr>
            <w:tcW w:w="7447" w:type="dxa"/>
          </w:tcPr>
          <w:p w14:paraId="61D91456" w14:textId="77777777" w:rsidR="00FB64C0" w:rsidRPr="009A1BE7" w:rsidRDefault="00FB64C0" w:rsidP="00FD7872">
            <w:pPr>
              <w:rPr>
                <w:sz w:val="20"/>
                <w:lang w:val="en-IE"/>
              </w:rPr>
            </w:pPr>
            <w:r w:rsidRPr="009A1BE7">
              <w:rPr>
                <w:sz w:val="20"/>
                <w:lang w:val="en-IE"/>
              </w:rPr>
              <w:t xml:space="preserve">Directive 2010/31/EU of the European Parliament and the Council on the energy </w:t>
            </w:r>
            <w:r w:rsidRPr="009A1BE7">
              <w:rPr>
                <w:sz w:val="20"/>
                <w:lang w:val="en-IE"/>
              </w:rPr>
              <w:lastRenderedPageBreak/>
              <w:t>performance of buildings.</w:t>
            </w:r>
          </w:p>
          <w:p w14:paraId="5FEE1469" w14:textId="77777777" w:rsidR="00FB64C0" w:rsidRPr="009A1BE7" w:rsidRDefault="00FB64C0" w:rsidP="00FD7872">
            <w:pPr>
              <w:rPr>
                <w:sz w:val="20"/>
              </w:rPr>
            </w:pPr>
            <w:r w:rsidRPr="009A1BE7">
              <w:rPr>
                <w:sz w:val="20"/>
              </w:rPr>
              <w:t>Directive (EU) 2018/844 of the European Parliament and of the Council of 30 May 2018 amending Directive 2010/31/EU on the energy performance of buildings and Directive 2012/27/EU on energy efficiency (OJ L 156/75, 19.6.2018)</w:t>
            </w:r>
          </w:p>
          <w:p w14:paraId="4B91F2EF" w14:textId="77777777" w:rsidR="00FB64C0" w:rsidRPr="009A1BE7" w:rsidRDefault="00FB64C0" w:rsidP="00FD7872">
            <w:pPr>
              <w:rPr>
                <w:sz w:val="20"/>
                <w:lang w:val="en-IE"/>
              </w:rPr>
            </w:pPr>
            <w:r w:rsidRPr="009A1BE7">
              <w:rPr>
                <w:sz w:val="20"/>
              </w:rPr>
              <w:t>Energy Efficiency Directive (2012/27/EU)</w:t>
            </w:r>
          </w:p>
        </w:tc>
      </w:tr>
      <w:tr w:rsidR="00FB64C0" w:rsidRPr="00255291" w14:paraId="7DD3CF4E" w14:textId="77777777" w:rsidTr="009A1BE7">
        <w:tc>
          <w:tcPr>
            <w:tcW w:w="2028" w:type="dxa"/>
          </w:tcPr>
          <w:p w14:paraId="59E37D53" w14:textId="77777777" w:rsidR="00FB64C0" w:rsidRPr="009A1BE7" w:rsidRDefault="00FB64C0" w:rsidP="00FD7872">
            <w:pPr>
              <w:rPr>
                <w:sz w:val="20"/>
              </w:rPr>
            </w:pPr>
            <w:r w:rsidRPr="009A1BE7">
              <w:rPr>
                <w:sz w:val="20"/>
              </w:rPr>
              <w:lastRenderedPageBreak/>
              <w:t>Corresponding Structural Funds indicator(s)</w:t>
            </w:r>
          </w:p>
        </w:tc>
        <w:tc>
          <w:tcPr>
            <w:tcW w:w="7447" w:type="dxa"/>
          </w:tcPr>
          <w:p w14:paraId="074BB10C" w14:textId="77777777" w:rsidR="00FB64C0" w:rsidRPr="009A1BE7" w:rsidRDefault="00FB64C0" w:rsidP="00FD7872">
            <w:pPr>
              <w:rPr>
                <w:sz w:val="20"/>
              </w:rPr>
            </w:pPr>
            <w:r w:rsidRPr="009A1BE7">
              <w:rPr>
                <w:sz w:val="20"/>
              </w:rPr>
              <w:t xml:space="preserve">RCR26 </w:t>
            </w:r>
            <w:r w:rsidRPr="009A1BE7">
              <w:rPr>
                <w:sz w:val="20"/>
                <w:lang w:val="en-IE"/>
              </w:rPr>
              <w:t>Annual primary energy consumption (of which: dwellings, public buildings, enterprises, other)</w:t>
            </w:r>
          </w:p>
        </w:tc>
      </w:tr>
    </w:tbl>
    <w:p w14:paraId="41C4DB26" w14:textId="44664E6F" w:rsidR="006D57FD" w:rsidRPr="00255291" w:rsidRDefault="006D57FD" w:rsidP="00FB64C0">
      <w:pPr>
        <w:pStyle w:val="ListParagraph"/>
        <w:ind w:left="1152"/>
        <w:rPr>
          <w:b/>
        </w:rPr>
      </w:pPr>
      <w:r w:rsidRPr="00255291">
        <w:rPr>
          <w:b/>
        </w:rPr>
        <w:br w:type="page"/>
      </w:r>
    </w:p>
    <w:p w14:paraId="3818055D" w14:textId="3C8A75A1" w:rsidR="00FB64C0" w:rsidRDefault="00FB64C0" w:rsidP="001F5716">
      <w:pPr>
        <w:pStyle w:val="Heading2"/>
        <w:numPr>
          <w:ilvl w:val="1"/>
          <w:numId w:val="43"/>
        </w:numPr>
        <w:rPr>
          <w:rFonts w:ascii="Times New Roman" w:hAnsi="Times New Roman" w:cs="Times New Roman"/>
          <w:b/>
          <w:color w:val="auto"/>
        </w:rPr>
      </w:pPr>
      <w:bookmarkStart w:id="10" w:name="_Toc93393177"/>
      <w:r w:rsidRPr="00255291">
        <w:rPr>
          <w:rFonts w:ascii="Times New Roman" w:hAnsi="Times New Roman" w:cs="Times New Roman"/>
          <w:b/>
          <w:color w:val="auto"/>
        </w:rPr>
        <w:lastRenderedPageBreak/>
        <w:t>Additional operational capacity installed for renewable energy</w:t>
      </w:r>
      <w:bookmarkEnd w:id="10"/>
    </w:p>
    <w:p w14:paraId="29C7794E" w14:textId="77777777" w:rsidR="001F5716" w:rsidRPr="001F5716" w:rsidRDefault="001F5716" w:rsidP="001F5716"/>
    <w:tbl>
      <w:tblPr>
        <w:tblStyle w:val="TableGrid"/>
        <w:tblW w:w="9475" w:type="dxa"/>
        <w:tblLook w:val="04A0" w:firstRow="1" w:lastRow="0" w:firstColumn="1" w:lastColumn="0" w:noHBand="0" w:noVBand="1"/>
      </w:tblPr>
      <w:tblGrid>
        <w:gridCol w:w="2028"/>
        <w:gridCol w:w="7447"/>
      </w:tblGrid>
      <w:tr w:rsidR="00FB64C0" w:rsidRPr="00255291" w14:paraId="4CCCAF3D" w14:textId="77777777" w:rsidTr="009A1BE7">
        <w:tc>
          <w:tcPr>
            <w:tcW w:w="2028" w:type="dxa"/>
            <w:shd w:val="clear" w:color="auto" w:fill="auto"/>
          </w:tcPr>
          <w:p w14:paraId="0C92A258" w14:textId="77777777" w:rsidR="00FB64C0" w:rsidRPr="009A1BE7" w:rsidRDefault="00FB64C0" w:rsidP="00FD7872">
            <w:pPr>
              <w:rPr>
                <w:sz w:val="20"/>
              </w:rPr>
            </w:pPr>
            <w:r w:rsidRPr="009A1BE7">
              <w:rPr>
                <w:sz w:val="20"/>
              </w:rPr>
              <w:t>Indicator code</w:t>
            </w:r>
          </w:p>
        </w:tc>
        <w:tc>
          <w:tcPr>
            <w:tcW w:w="7447" w:type="dxa"/>
            <w:shd w:val="clear" w:color="auto" w:fill="auto"/>
          </w:tcPr>
          <w:p w14:paraId="706AD079" w14:textId="77777777" w:rsidR="00FB64C0" w:rsidRPr="009A1BE7" w:rsidRDefault="00FB64C0" w:rsidP="00FD7872">
            <w:pPr>
              <w:rPr>
                <w:sz w:val="20"/>
              </w:rPr>
            </w:pPr>
            <w:r w:rsidRPr="009A1BE7">
              <w:rPr>
                <w:sz w:val="20"/>
              </w:rPr>
              <w:t>RRFCI02</w:t>
            </w:r>
          </w:p>
        </w:tc>
      </w:tr>
      <w:tr w:rsidR="00FB64C0" w:rsidRPr="00255291" w14:paraId="0487867F" w14:textId="77777777" w:rsidTr="009A1BE7">
        <w:tc>
          <w:tcPr>
            <w:tcW w:w="2028" w:type="dxa"/>
            <w:shd w:val="clear" w:color="auto" w:fill="auto"/>
          </w:tcPr>
          <w:p w14:paraId="636B859C" w14:textId="77777777" w:rsidR="00FB64C0" w:rsidRPr="009A1BE7" w:rsidRDefault="00FB64C0" w:rsidP="00FD7872">
            <w:pPr>
              <w:rPr>
                <w:sz w:val="20"/>
              </w:rPr>
            </w:pPr>
            <w:r w:rsidRPr="009A1BE7">
              <w:rPr>
                <w:sz w:val="20"/>
              </w:rPr>
              <w:t>Indicator name</w:t>
            </w:r>
          </w:p>
        </w:tc>
        <w:tc>
          <w:tcPr>
            <w:tcW w:w="7447" w:type="dxa"/>
            <w:shd w:val="clear" w:color="auto" w:fill="auto"/>
          </w:tcPr>
          <w:p w14:paraId="2EF19255" w14:textId="77777777" w:rsidR="00FB64C0" w:rsidRPr="009A1BE7" w:rsidRDefault="00FB64C0" w:rsidP="00FD7872">
            <w:pPr>
              <w:rPr>
                <w:sz w:val="20"/>
              </w:rPr>
            </w:pPr>
            <w:r w:rsidRPr="009A1BE7">
              <w:rPr>
                <w:sz w:val="20"/>
              </w:rPr>
              <w:t>Additional operational capacity installed for renewable energy</w:t>
            </w:r>
          </w:p>
        </w:tc>
      </w:tr>
      <w:tr w:rsidR="00FB64C0" w:rsidRPr="00255291" w14:paraId="77B57839" w14:textId="77777777" w:rsidTr="009A1BE7">
        <w:tc>
          <w:tcPr>
            <w:tcW w:w="2028" w:type="dxa"/>
            <w:shd w:val="clear" w:color="auto" w:fill="auto"/>
          </w:tcPr>
          <w:p w14:paraId="5E3F71C7" w14:textId="77777777" w:rsidR="00FB64C0" w:rsidRPr="009A1BE7" w:rsidRDefault="00FB64C0" w:rsidP="00FD7872">
            <w:pPr>
              <w:rPr>
                <w:sz w:val="20"/>
              </w:rPr>
            </w:pPr>
            <w:r w:rsidRPr="009A1BE7">
              <w:rPr>
                <w:sz w:val="20"/>
              </w:rPr>
              <w:t>Measurement unit</w:t>
            </w:r>
          </w:p>
        </w:tc>
        <w:tc>
          <w:tcPr>
            <w:tcW w:w="7447" w:type="dxa"/>
            <w:shd w:val="clear" w:color="auto" w:fill="auto"/>
          </w:tcPr>
          <w:p w14:paraId="42FCCF9C" w14:textId="77777777" w:rsidR="00FB64C0" w:rsidRPr="009A1BE7" w:rsidRDefault="00FB64C0" w:rsidP="00FD7872">
            <w:pPr>
              <w:rPr>
                <w:sz w:val="20"/>
              </w:rPr>
            </w:pPr>
            <w:r w:rsidRPr="009A1BE7">
              <w:rPr>
                <w:sz w:val="20"/>
              </w:rPr>
              <w:t>MW</w:t>
            </w:r>
          </w:p>
        </w:tc>
      </w:tr>
      <w:tr w:rsidR="00D0748F" w:rsidRPr="00255291" w14:paraId="7378CDAB" w14:textId="77777777" w:rsidTr="009A1BE7">
        <w:tc>
          <w:tcPr>
            <w:tcW w:w="2028" w:type="dxa"/>
            <w:shd w:val="clear" w:color="auto" w:fill="auto"/>
          </w:tcPr>
          <w:p w14:paraId="48883624" w14:textId="4FA62B59" w:rsidR="00D0748F" w:rsidRPr="009A1BE7" w:rsidRDefault="00253352" w:rsidP="00FD7872">
            <w:pPr>
              <w:rPr>
                <w:sz w:val="20"/>
              </w:rPr>
            </w:pPr>
            <w:r w:rsidRPr="009A1BE7">
              <w:rPr>
                <w:sz w:val="20"/>
              </w:rPr>
              <w:t>Type of indicator</w:t>
            </w:r>
          </w:p>
        </w:tc>
        <w:tc>
          <w:tcPr>
            <w:tcW w:w="7447" w:type="dxa"/>
            <w:shd w:val="clear" w:color="auto" w:fill="auto"/>
          </w:tcPr>
          <w:p w14:paraId="2C91E131" w14:textId="443AFEA0" w:rsidR="00D0748F" w:rsidRPr="009A1BE7" w:rsidRDefault="00D0748F" w:rsidP="00FD7872">
            <w:pPr>
              <w:rPr>
                <w:sz w:val="20"/>
              </w:rPr>
            </w:pPr>
            <w:r w:rsidRPr="009A1BE7">
              <w:rPr>
                <w:sz w:val="20"/>
              </w:rPr>
              <w:t xml:space="preserve">Stock </w:t>
            </w:r>
          </w:p>
        </w:tc>
      </w:tr>
      <w:tr w:rsidR="00597BFE" w:rsidRPr="00255291" w14:paraId="28E36407" w14:textId="77777777" w:rsidTr="009A1BE7">
        <w:tc>
          <w:tcPr>
            <w:tcW w:w="2028" w:type="dxa"/>
            <w:shd w:val="clear" w:color="auto" w:fill="auto"/>
          </w:tcPr>
          <w:p w14:paraId="07D219C6" w14:textId="77777777" w:rsidR="00597BFE" w:rsidRPr="009A1BE7" w:rsidRDefault="00597BFE" w:rsidP="00FD7872">
            <w:pPr>
              <w:rPr>
                <w:sz w:val="20"/>
              </w:rPr>
            </w:pPr>
            <w:r w:rsidRPr="009A1BE7">
              <w:rPr>
                <w:sz w:val="20"/>
              </w:rPr>
              <w:t>Baseline</w:t>
            </w:r>
          </w:p>
        </w:tc>
        <w:tc>
          <w:tcPr>
            <w:tcW w:w="7447" w:type="dxa"/>
            <w:shd w:val="clear" w:color="auto" w:fill="auto"/>
          </w:tcPr>
          <w:p w14:paraId="2233662C" w14:textId="1F590E72" w:rsidR="00BC3915" w:rsidRPr="009A1BE7" w:rsidRDefault="00976D4C">
            <w:pPr>
              <w:rPr>
                <w:sz w:val="20"/>
              </w:rPr>
            </w:pPr>
            <w:r w:rsidRPr="009A1BE7">
              <w:rPr>
                <w:sz w:val="20"/>
              </w:rPr>
              <w:t>I</w:t>
            </w:r>
            <w:r w:rsidR="00E310F1" w:rsidRPr="009A1BE7">
              <w:rPr>
                <w:sz w:val="20"/>
              </w:rPr>
              <w:t>nitially 0, subsequently adjusted to the achieved value of the previous reporting round</w:t>
            </w:r>
          </w:p>
        </w:tc>
      </w:tr>
      <w:tr w:rsidR="00FB64C0" w:rsidRPr="00255291" w14:paraId="1B457111" w14:textId="77777777" w:rsidTr="009A1BE7">
        <w:tc>
          <w:tcPr>
            <w:tcW w:w="2028" w:type="dxa"/>
            <w:shd w:val="clear" w:color="auto" w:fill="auto"/>
          </w:tcPr>
          <w:p w14:paraId="3681234E" w14:textId="77777777" w:rsidR="00FB64C0" w:rsidRPr="009A1BE7" w:rsidRDefault="00FB64C0" w:rsidP="00FD7872">
            <w:pPr>
              <w:rPr>
                <w:sz w:val="20"/>
              </w:rPr>
            </w:pPr>
            <w:r w:rsidRPr="009A1BE7">
              <w:rPr>
                <w:sz w:val="20"/>
              </w:rPr>
              <w:t>RRF Pillars</w:t>
            </w:r>
          </w:p>
        </w:tc>
        <w:tc>
          <w:tcPr>
            <w:tcW w:w="7447" w:type="dxa"/>
            <w:shd w:val="clear" w:color="auto" w:fill="auto"/>
          </w:tcPr>
          <w:p w14:paraId="13343B1C" w14:textId="77777777" w:rsidR="00FB64C0" w:rsidRPr="009A1BE7" w:rsidRDefault="00FB64C0" w:rsidP="00FD7872">
            <w:pPr>
              <w:rPr>
                <w:sz w:val="20"/>
              </w:rPr>
            </w:pPr>
            <w:r w:rsidRPr="009A1BE7">
              <w:rPr>
                <w:sz w:val="20"/>
              </w:rPr>
              <w:t>Pillar 1 Green transition</w:t>
            </w:r>
          </w:p>
          <w:p w14:paraId="55CC577E" w14:textId="77777777" w:rsidR="00FB64C0" w:rsidRPr="009A1BE7" w:rsidRDefault="00FB64C0" w:rsidP="00FD7872">
            <w:pPr>
              <w:rPr>
                <w:sz w:val="20"/>
              </w:rPr>
            </w:pPr>
            <w:r w:rsidRPr="009A1BE7">
              <w:rPr>
                <w:sz w:val="20"/>
              </w:rPr>
              <w:t>Pillar 3 Smart, sustainable and inclusive growth, including economic cohesion, jobs, productivity, competitiveness, research, development and innovation, and a well-functioning internal market with strong SMEs</w:t>
            </w:r>
          </w:p>
        </w:tc>
      </w:tr>
      <w:tr w:rsidR="00FB64C0" w:rsidRPr="00255291" w14:paraId="18E0B254" w14:textId="77777777" w:rsidTr="009A1BE7">
        <w:tc>
          <w:tcPr>
            <w:tcW w:w="2028" w:type="dxa"/>
            <w:shd w:val="clear" w:color="auto" w:fill="auto"/>
          </w:tcPr>
          <w:p w14:paraId="520F490E" w14:textId="77777777" w:rsidR="00FB64C0" w:rsidRPr="009A1BE7" w:rsidRDefault="00FB64C0" w:rsidP="00FD7872">
            <w:pPr>
              <w:rPr>
                <w:sz w:val="20"/>
              </w:rPr>
            </w:pPr>
            <w:r w:rsidRPr="009A1BE7">
              <w:rPr>
                <w:sz w:val="20"/>
              </w:rPr>
              <w:t>Definition and concepts</w:t>
            </w:r>
          </w:p>
        </w:tc>
        <w:tc>
          <w:tcPr>
            <w:tcW w:w="7447" w:type="dxa"/>
            <w:shd w:val="clear" w:color="auto" w:fill="auto"/>
          </w:tcPr>
          <w:p w14:paraId="2F727A8C" w14:textId="380A8A4E" w:rsidR="00FB64C0" w:rsidRPr="009A1BE7" w:rsidRDefault="00FB64C0">
            <w:pPr>
              <w:rPr>
                <w:sz w:val="20"/>
              </w:rPr>
            </w:pPr>
            <w:r w:rsidRPr="009A1BE7">
              <w:rPr>
                <w:sz w:val="20"/>
              </w:rPr>
              <w:t xml:space="preserve">Additional capacity installed for renewable energy due to the support from measures under the Facility, and which is operational (i.e. connected to the grid, if applicable, and fully ready to produce or already producing energy). </w:t>
            </w:r>
            <w:r w:rsidR="006D57FD" w:rsidRPr="009A1BE7">
              <w:rPr>
                <w:sz w:val="20"/>
              </w:rPr>
              <w:t>The value reported is the number produced over the reporting period in addition to the number reported in the previous reporting round.</w:t>
            </w:r>
          </w:p>
          <w:p w14:paraId="55D42C3E" w14:textId="77777777" w:rsidR="00FB64C0" w:rsidRPr="009A1BE7" w:rsidRDefault="00FB64C0">
            <w:pPr>
              <w:rPr>
                <w:sz w:val="20"/>
              </w:rPr>
            </w:pPr>
            <w:r w:rsidRPr="009A1BE7">
              <w:rPr>
                <w:sz w:val="20"/>
              </w:rPr>
              <w:t>Production capacity shall be defined as the “net maximum electrical capacity” as defined by Eurostat as “the maximum active power that can be supplied, continuously, with all plant running, at the point of outlet (i.e. after taking the power supplies for the station auxiliaries and allowing for the losses in those transformers considered integral to the station</w:t>
            </w:r>
            <w:r w:rsidR="05E3A34E" w:rsidRPr="009A1BE7">
              <w:rPr>
                <w:sz w:val="20"/>
              </w:rPr>
              <w:t>)</w:t>
            </w:r>
            <w:r w:rsidRPr="009A1BE7">
              <w:rPr>
                <w:sz w:val="20"/>
              </w:rPr>
              <w:t>”.</w:t>
            </w:r>
          </w:p>
          <w:p w14:paraId="47B22921" w14:textId="6D2F3E26" w:rsidR="00FB64C0" w:rsidRPr="009A1BE7" w:rsidRDefault="00FB64C0" w:rsidP="00A06952">
            <w:pPr>
              <w:rPr>
                <w:sz w:val="20"/>
              </w:rPr>
            </w:pPr>
            <w:r w:rsidRPr="009A1BE7">
              <w:rPr>
                <w:sz w:val="20"/>
              </w:rPr>
              <w:t>Renewable energy shall be defined as "energy from renewable non-fossil sources namely wind, solar (thermal and photovoltaic) and geothermal energy, ambient energy, tide, wave and other ocean energy, hydropower, biomass, landfill gas, sewage treat</w:t>
            </w:r>
            <w:r w:rsidR="00A06952" w:rsidRPr="009A1BE7">
              <w:rPr>
                <w:sz w:val="20"/>
              </w:rPr>
              <w:t>ment plant gas, and biogas"</w:t>
            </w:r>
            <w:r w:rsidR="00740A4E" w:rsidRPr="009A1BE7">
              <w:rPr>
                <w:sz w:val="20"/>
              </w:rPr>
              <w:t xml:space="preserve"> in line with Article 2(1) of Directive (EU) 2018/2001</w:t>
            </w:r>
            <w:r w:rsidRPr="009A1BE7">
              <w:rPr>
                <w:sz w:val="20"/>
              </w:rPr>
              <w:t xml:space="preserve">. The indicator shall also capture electrolyser capacity for </w:t>
            </w:r>
            <w:r w:rsidR="00B8371D" w:rsidRPr="009A1BE7">
              <w:rPr>
                <w:sz w:val="20"/>
              </w:rPr>
              <w:t xml:space="preserve">green </w:t>
            </w:r>
            <w:r w:rsidRPr="009A1BE7">
              <w:rPr>
                <w:sz w:val="20"/>
              </w:rPr>
              <w:t xml:space="preserve">hydrogen production built up with support by measures under the Facility. </w:t>
            </w:r>
          </w:p>
        </w:tc>
      </w:tr>
      <w:tr w:rsidR="00FB64C0" w:rsidRPr="00255291" w14:paraId="4D6893DF" w14:textId="77777777" w:rsidTr="009A1BE7">
        <w:tc>
          <w:tcPr>
            <w:tcW w:w="2028" w:type="dxa"/>
          </w:tcPr>
          <w:p w14:paraId="7F260419" w14:textId="77777777" w:rsidR="00FB64C0" w:rsidRPr="009A1BE7" w:rsidRDefault="00FB64C0" w:rsidP="00FD7872">
            <w:pPr>
              <w:rPr>
                <w:sz w:val="20"/>
              </w:rPr>
            </w:pPr>
            <w:r w:rsidRPr="009A1BE7">
              <w:rPr>
                <w:sz w:val="20"/>
              </w:rPr>
              <w:t>Time measurement</w:t>
            </w:r>
          </w:p>
        </w:tc>
        <w:tc>
          <w:tcPr>
            <w:tcW w:w="7447" w:type="dxa"/>
          </w:tcPr>
          <w:p w14:paraId="70782D23" w14:textId="77777777" w:rsidR="00FB64C0" w:rsidRPr="009A1BE7" w:rsidRDefault="00FB64C0" w:rsidP="00FD7872">
            <w:pPr>
              <w:rPr>
                <w:sz w:val="20"/>
              </w:rPr>
            </w:pPr>
            <w:r w:rsidRPr="009A1BE7">
              <w:rPr>
                <w:sz w:val="20"/>
                <w:lang w:val="en-IE"/>
              </w:rPr>
              <w:t>As soon as the production capacity is operational (i.e. ready to produce or already producing energy)</w:t>
            </w:r>
            <w:r w:rsidR="0094059C" w:rsidRPr="009A1BE7">
              <w:rPr>
                <w:sz w:val="20"/>
                <w:lang w:val="en-IE"/>
              </w:rPr>
              <w:t xml:space="preserve"> as defined in the general principles</w:t>
            </w:r>
            <w:r w:rsidRPr="009A1BE7">
              <w:rPr>
                <w:sz w:val="20"/>
                <w:lang w:val="en-IE"/>
              </w:rPr>
              <w:t xml:space="preserve">. </w:t>
            </w:r>
          </w:p>
        </w:tc>
      </w:tr>
      <w:tr w:rsidR="00976D4C" w:rsidRPr="00255291" w14:paraId="5F9ABE6B" w14:textId="77777777" w:rsidTr="009A1BE7">
        <w:tc>
          <w:tcPr>
            <w:tcW w:w="2028" w:type="dxa"/>
          </w:tcPr>
          <w:p w14:paraId="0968C925" w14:textId="78D03E63" w:rsidR="00976D4C" w:rsidRPr="009A1BE7" w:rsidRDefault="00976D4C" w:rsidP="00FD7872">
            <w:pPr>
              <w:rPr>
                <w:sz w:val="20"/>
              </w:rPr>
            </w:pPr>
            <w:r w:rsidRPr="009A1BE7">
              <w:rPr>
                <w:sz w:val="20"/>
              </w:rPr>
              <w:t>Counting methodology</w:t>
            </w:r>
          </w:p>
        </w:tc>
        <w:tc>
          <w:tcPr>
            <w:tcW w:w="7447" w:type="dxa"/>
          </w:tcPr>
          <w:p w14:paraId="13F95767" w14:textId="3B217854" w:rsidR="00976D4C" w:rsidRPr="009A1BE7" w:rsidRDefault="006D57FD" w:rsidP="00FD7872">
            <w:pPr>
              <w:rPr>
                <w:sz w:val="20"/>
                <w:lang w:val="en-IE"/>
              </w:rPr>
            </w:pPr>
            <w:r w:rsidRPr="009A1BE7">
              <w:rPr>
                <w:sz w:val="20"/>
                <w:lang w:val="en-IE"/>
              </w:rPr>
              <w:t>As defined</w:t>
            </w:r>
          </w:p>
        </w:tc>
      </w:tr>
      <w:tr w:rsidR="00FB64C0" w:rsidRPr="00255291" w14:paraId="0489F37D" w14:textId="77777777" w:rsidTr="009A1BE7">
        <w:tc>
          <w:tcPr>
            <w:tcW w:w="2028" w:type="dxa"/>
          </w:tcPr>
          <w:p w14:paraId="3FFDAB1A" w14:textId="77777777" w:rsidR="00FB64C0" w:rsidRPr="009A1BE7" w:rsidRDefault="00FB64C0" w:rsidP="00FD7872">
            <w:pPr>
              <w:rPr>
                <w:sz w:val="20"/>
              </w:rPr>
            </w:pPr>
            <w:r w:rsidRPr="009A1BE7">
              <w:rPr>
                <w:sz w:val="20"/>
              </w:rPr>
              <w:t xml:space="preserve">Disaggregation </w:t>
            </w:r>
          </w:p>
        </w:tc>
        <w:tc>
          <w:tcPr>
            <w:tcW w:w="7447" w:type="dxa"/>
          </w:tcPr>
          <w:p w14:paraId="0199DD2A" w14:textId="77777777" w:rsidR="00FB64C0" w:rsidRPr="009A1BE7" w:rsidRDefault="00034E68" w:rsidP="00FD7872">
            <w:pPr>
              <w:rPr>
                <w:sz w:val="20"/>
              </w:rPr>
            </w:pPr>
            <w:r w:rsidRPr="009A1BE7">
              <w:rPr>
                <w:sz w:val="20"/>
              </w:rPr>
              <w:t>It shall be disaggregated by</w:t>
            </w:r>
            <w:r w:rsidR="00FB64C0" w:rsidRPr="009A1BE7">
              <w:rPr>
                <w:sz w:val="20"/>
              </w:rPr>
              <w:t>:</w:t>
            </w:r>
          </w:p>
          <w:p w14:paraId="06C64A23" w14:textId="77777777" w:rsidR="00FB64C0" w:rsidRPr="009A1BE7" w:rsidRDefault="00FB64C0" w:rsidP="00FD7872">
            <w:pPr>
              <w:pStyle w:val="ListParagraph"/>
              <w:numPr>
                <w:ilvl w:val="0"/>
                <w:numId w:val="24"/>
              </w:numPr>
              <w:rPr>
                <w:sz w:val="20"/>
                <w:lang w:val="en-IE"/>
              </w:rPr>
            </w:pPr>
            <w:r w:rsidRPr="009A1BE7">
              <w:rPr>
                <w:noProof/>
                <w:color w:val="000000"/>
                <w:sz w:val="20"/>
                <w:lang w:eastAsia="en-IE"/>
              </w:rPr>
              <w:t>capacity</w:t>
            </w:r>
            <w:r w:rsidRPr="009A1BE7">
              <w:rPr>
                <w:sz w:val="20"/>
              </w:rPr>
              <w:t xml:space="preserve"> for renewable energy production and</w:t>
            </w:r>
          </w:p>
          <w:p w14:paraId="0016C4D6" w14:textId="77777777" w:rsidR="00FB64C0" w:rsidRPr="009A1BE7" w:rsidRDefault="00FB64C0" w:rsidP="00FD7872">
            <w:pPr>
              <w:pStyle w:val="ListParagraph"/>
              <w:numPr>
                <w:ilvl w:val="0"/>
                <w:numId w:val="24"/>
              </w:numPr>
              <w:rPr>
                <w:sz w:val="20"/>
                <w:lang w:val="en-IE"/>
              </w:rPr>
            </w:pPr>
            <w:r w:rsidRPr="009A1BE7">
              <w:rPr>
                <w:sz w:val="20"/>
              </w:rPr>
              <w:t>electrolyser capacity for hydrogen production</w:t>
            </w:r>
          </w:p>
        </w:tc>
      </w:tr>
      <w:tr w:rsidR="00FB64C0" w:rsidRPr="00255291" w14:paraId="0678C2A3" w14:textId="77777777" w:rsidTr="009A1BE7">
        <w:tc>
          <w:tcPr>
            <w:tcW w:w="2028" w:type="dxa"/>
          </w:tcPr>
          <w:p w14:paraId="3B4EC4E9" w14:textId="77777777" w:rsidR="00FB64C0" w:rsidRPr="009A1BE7" w:rsidRDefault="00FB64C0" w:rsidP="00FD7872">
            <w:pPr>
              <w:rPr>
                <w:sz w:val="20"/>
              </w:rPr>
            </w:pPr>
            <w:r w:rsidRPr="009A1BE7">
              <w:rPr>
                <w:sz w:val="20"/>
              </w:rPr>
              <w:t>References</w:t>
            </w:r>
          </w:p>
        </w:tc>
        <w:tc>
          <w:tcPr>
            <w:tcW w:w="7447" w:type="dxa"/>
          </w:tcPr>
          <w:p w14:paraId="6782E440" w14:textId="6165D855" w:rsidR="00A06952" w:rsidRPr="009A1BE7" w:rsidRDefault="00A06952" w:rsidP="00FD7872">
            <w:pPr>
              <w:rPr>
                <w:sz w:val="20"/>
              </w:rPr>
            </w:pPr>
            <w:r w:rsidRPr="009A1BE7">
              <w:rPr>
                <w:sz w:val="20"/>
              </w:rPr>
              <w:t>Eurostat for the definition of production capacity</w:t>
            </w:r>
          </w:p>
          <w:p w14:paraId="57E4FADD" w14:textId="54840364" w:rsidR="00FB64C0" w:rsidRPr="009A1BE7" w:rsidRDefault="00A06952" w:rsidP="00FD7872">
            <w:pPr>
              <w:rPr>
                <w:sz w:val="20"/>
                <w:lang w:val="en-IE"/>
              </w:rPr>
            </w:pPr>
            <w:r w:rsidRPr="009A1BE7">
              <w:rPr>
                <w:sz w:val="20"/>
              </w:rPr>
              <w:t>Directive 2018/2001 for the definition of renewable energy</w:t>
            </w:r>
          </w:p>
        </w:tc>
      </w:tr>
      <w:tr w:rsidR="00FB64C0" w:rsidRPr="00255291" w14:paraId="2302D9F3" w14:textId="77777777" w:rsidTr="009A1BE7">
        <w:tc>
          <w:tcPr>
            <w:tcW w:w="2028" w:type="dxa"/>
          </w:tcPr>
          <w:p w14:paraId="61CF8C3A" w14:textId="77777777" w:rsidR="00FB64C0" w:rsidRPr="009A1BE7" w:rsidRDefault="00FB64C0" w:rsidP="00FD7872">
            <w:pPr>
              <w:rPr>
                <w:sz w:val="20"/>
              </w:rPr>
            </w:pPr>
            <w:r w:rsidRPr="009A1BE7">
              <w:rPr>
                <w:sz w:val="20"/>
              </w:rPr>
              <w:t>Corresponding Structural Funds indicator(s)</w:t>
            </w:r>
          </w:p>
        </w:tc>
        <w:tc>
          <w:tcPr>
            <w:tcW w:w="7447" w:type="dxa"/>
          </w:tcPr>
          <w:p w14:paraId="724382EE" w14:textId="77777777" w:rsidR="00FB64C0" w:rsidRPr="009A1BE7" w:rsidRDefault="00FB64C0">
            <w:pPr>
              <w:rPr>
                <w:sz w:val="20"/>
              </w:rPr>
            </w:pPr>
            <w:r w:rsidRPr="009A1BE7">
              <w:rPr>
                <w:sz w:val="20"/>
              </w:rPr>
              <w:t xml:space="preserve">RCR32 </w:t>
            </w:r>
            <w:r w:rsidRPr="009A1BE7">
              <w:rPr>
                <w:sz w:val="20"/>
                <w:lang w:val="en-IE"/>
              </w:rPr>
              <w:t>Additional operational capacity installed for renewable energy</w:t>
            </w:r>
          </w:p>
        </w:tc>
      </w:tr>
    </w:tbl>
    <w:p w14:paraId="3F7011EC" w14:textId="0E11575A" w:rsidR="006D57FD" w:rsidRPr="00255291" w:rsidRDefault="006D57FD" w:rsidP="00FB64C0">
      <w:pPr>
        <w:pStyle w:val="ListParagraph"/>
        <w:ind w:left="1152"/>
        <w:rPr>
          <w:b/>
        </w:rPr>
      </w:pPr>
      <w:r w:rsidRPr="00255291">
        <w:rPr>
          <w:b/>
        </w:rPr>
        <w:lastRenderedPageBreak/>
        <w:br w:type="page"/>
      </w:r>
    </w:p>
    <w:p w14:paraId="605DB5EC" w14:textId="5EA5856A" w:rsidR="00FB64C0" w:rsidRDefault="00FB64C0" w:rsidP="001F5716">
      <w:pPr>
        <w:pStyle w:val="Heading2"/>
        <w:numPr>
          <w:ilvl w:val="1"/>
          <w:numId w:val="43"/>
        </w:numPr>
        <w:rPr>
          <w:rFonts w:ascii="Times New Roman" w:hAnsi="Times New Roman" w:cs="Times New Roman"/>
          <w:b/>
          <w:color w:val="auto"/>
        </w:rPr>
      </w:pPr>
      <w:bookmarkStart w:id="11" w:name="_Toc93393178"/>
      <w:r w:rsidRPr="00255291">
        <w:rPr>
          <w:rFonts w:ascii="Times New Roman" w:hAnsi="Times New Roman" w:cs="Times New Roman"/>
          <w:b/>
          <w:color w:val="auto"/>
        </w:rPr>
        <w:lastRenderedPageBreak/>
        <w:t>Alternative fuels infrastructure (refuelling/recharging points)</w:t>
      </w:r>
      <w:bookmarkEnd w:id="11"/>
    </w:p>
    <w:p w14:paraId="0A3D1B9D" w14:textId="77777777" w:rsidR="001F5716" w:rsidRPr="001F5716" w:rsidRDefault="001F5716" w:rsidP="001F5716"/>
    <w:tbl>
      <w:tblPr>
        <w:tblStyle w:val="TableGrid"/>
        <w:tblW w:w="9475" w:type="dxa"/>
        <w:tblLook w:val="04A0" w:firstRow="1" w:lastRow="0" w:firstColumn="1" w:lastColumn="0" w:noHBand="0" w:noVBand="1"/>
      </w:tblPr>
      <w:tblGrid>
        <w:gridCol w:w="2028"/>
        <w:gridCol w:w="7447"/>
      </w:tblGrid>
      <w:tr w:rsidR="00FB64C0" w:rsidRPr="00255291" w14:paraId="74A026C2" w14:textId="77777777" w:rsidTr="009A1BE7">
        <w:tc>
          <w:tcPr>
            <w:tcW w:w="2028" w:type="dxa"/>
          </w:tcPr>
          <w:p w14:paraId="061915B9" w14:textId="77777777" w:rsidR="00FB64C0" w:rsidRPr="009A1BE7" w:rsidRDefault="00FB64C0" w:rsidP="00FD7872">
            <w:pPr>
              <w:rPr>
                <w:sz w:val="20"/>
              </w:rPr>
            </w:pPr>
            <w:r w:rsidRPr="009A1BE7">
              <w:rPr>
                <w:sz w:val="20"/>
              </w:rPr>
              <w:t>Indicator code</w:t>
            </w:r>
          </w:p>
        </w:tc>
        <w:tc>
          <w:tcPr>
            <w:tcW w:w="7447" w:type="dxa"/>
          </w:tcPr>
          <w:p w14:paraId="0B631EC5" w14:textId="77777777" w:rsidR="00FB64C0" w:rsidRPr="009A1BE7" w:rsidRDefault="00FB64C0" w:rsidP="00FD7872">
            <w:pPr>
              <w:rPr>
                <w:sz w:val="20"/>
              </w:rPr>
            </w:pPr>
            <w:r w:rsidRPr="009A1BE7">
              <w:rPr>
                <w:sz w:val="20"/>
              </w:rPr>
              <w:t>RRFCI03</w:t>
            </w:r>
          </w:p>
        </w:tc>
      </w:tr>
      <w:tr w:rsidR="00FB64C0" w:rsidRPr="00255291" w14:paraId="23569393" w14:textId="77777777" w:rsidTr="009A1BE7">
        <w:tc>
          <w:tcPr>
            <w:tcW w:w="2028" w:type="dxa"/>
            <w:shd w:val="clear" w:color="auto" w:fill="auto"/>
          </w:tcPr>
          <w:p w14:paraId="3EFBCD59" w14:textId="77777777" w:rsidR="00FB64C0" w:rsidRPr="009A1BE7" w:rsidRDefault="00FB64C0" w:rsidP="00FD7872">
            <w:pPr>
              <w:rPr>
                <w:sz w:val="20"/>
              </w:rPr>
            </w:pPr>
            <w:r w:rsidRPr="009A1BE7">
              <w:rPr>
                <w:sz w:val="20"/>
              </w:rPr>
              <w:t>Indicator name</w:t>
            </w:r>
          </w:p>
        </w:tc>
        <w:tc>
          <w:tcPr>
            <w:tcW w:w="7447" w:type="dxa"/>
            <w:shd w:val="clear" w:color="auto" w:fill="auto"/>
          </w:tcPr>
          <w:p w14:paraId="5D01A653" w14:textId="77777777" w:rsidR="00FB64C0" w:rsidRPr="009A1BE7" w:rsidRDefault="00FB64C0" w:rsidP="00FD7872">
            <w:pPr>
              <w:rPr>
                <w:sz w:val="20"/>
              </w:rPr>
            </w:pPr>
            <w:r w:rsidRPr="009A1BE7">
              <w:rPr>
                <w:sz w:val="20"/>
              </w:rPr>
              <w:t>Alternative fuels infrastructure (refuelling/recharging points)</w:t>
            </w:r>
          </w:p>
        </w:tc>
      </w:tr>
      <w:tr w:rsidR="00FB64C0" w:rsidRPr="00255291" w14:paraId="1960279A" w14:textId="77777777" w:rsidTr="009A1BE7">
        <w:tc>
          <w:tcPr>
            <w:tcW w:w="2028" w:type="dxa"/>
            <w:shd w:val="clear" w:color="auto" w:fill="auto"/>
          </w:tcPr>
          <w:p w14:paraId="4B682493" w14:textId="77777777" w:rsidR="00FB64C0" w:rsidRPr="009A1BE7" w:rsidRDefault="00FB64C0" w:rsidP="00FD7872">
            <w:pPr>
              <w:rPr>
                <w:sz w:val="20"/>
              </w:rPr>
            </w:pPr>
            <w:r w:rsidRPr="009A1BE7">
              <w:rPr>
                <w:sz w:val="20"/>
              </w:rPr>
              <w:t>Measurement unit</w:t>
            </w:r>
          </w:p>
        </w:tc>
        <w:tc>
          <w:tcPr>
            <w:tcW w:w="7447" w:type="dxa"/>
            <w:shd w:val="clear" w:color="auto" w:fill="auto"/>
          </w:tcPr>
          <w:p w14:paraId="755001C0" w14:textId="77777777" w:rsidR="00FB64C0" w:rsidRPr="009A1BE7" w:rsidRDefault="00FB64C0" w:rsidP="00FD7872">
            <w:pPr>
              <w:rPr>
                <w:sz w:val="20"/>
              </w:rPr>
            </w:pPr>
            <w:r w:rsidRPr="009A1BE7">
              <w:rPr>
                <w:sz w:val="20"/>
              </w:rPr>
              <w:t>Refuelling/recharging points</w:t>
            </w:r>
          </w:p>
        </w:tc>
      </w:tr>
      <w:tr w:rsidR="00D0748F" w:rsidRPr="00255291" w14:paraId="28C65369" w14:textId="77777777" w:rsidTr="009A1BE7">
        <w:tc>
          <w:tcPr>
            <w:tcW w:w="2028" w:type="dxa"/>
            <w:shd w:val="clear" w:color="auto" w:fill="auto"/>
          </w:tcPr>
          <w:p w14:paraId="596FB5B6" w14:textId="1AE6A860" w:rsidR="00D0748F" w:rsidRPr="009A1BE7" w:rsidRDefault="00D0748F" w:rsidP="00FD7872">
            <w:pPr>
              <w:rPr>
                <w:sz w:val="20"/>
              </w:rPr>
            </w:pPr>
            <w:r w:rsidRPr="009A1BE7">
              <w:rPr>
                <w:sz w:val="20"/>
              </w:rPr>
              <w:t>Type of indicator</w:t>
            </w:r>
          </w:p>
        </w:tc>
        <w:tc>
          <w:tcPr>
            <w:tcW w:w="7447" w:type="dxa"/>
            <w:shd w:val="clear" w:color="auto" w:fill="auto"/>
          </w:tcPr>
          <w:p w14:paraId="2D9ADABD" w14:textId="440EA835" w:rsidR="00D0748F" w:rsidRPr="009A1BE7" w:rsidRDefault="00D0748F" w:rsidP="00FD7872">
            <w:pPr>
              <w:rPr>
                <w:sz w:val="20"/>
              </w:rPr>
            </w:pPr>
            <w:r w:rsidRPr="009A1BE7">
              <w:rPr>
                <w:sz w:val="20"/>
              </w:rPr>
              <w:t>Stock</w:t>
            </w:r>
          </w:p>
        </w:tc>
      </w:tr>
      <w:tr w:rsidR="00597BFE" w:rsidRPr="00255291" w14:paraId="5CA17CFB" w14:textId="77777777" w:rsidTr="009A1BE7">
        <w:tc>
          <w:tcPr>
            <w:tcW w:w="2028" w:type="dxa"/>
            <w:shd w:val="clear" w:color="auto" w:fill="auto"/>
          </w:tcPr>
          <w:p w14:paraId="18DBF45F" w14:textId="77777777" w:rsidR="00597BFE" w:rsidRPr="009A1BE7" w:rsidRDefault="00597BFE" w:rsidP="00FD7872">
            <w:pPr>
              <w:rPr>
                <w:sz w:val="20"/>
              </w:rPr>
            </w:pPr>
            <w:r w:rsidRPr="009A1BE7">
              <w:rPr>
                <w:sz w:val="20"/>
              </w:rPr>
              <w:t>Baseline</w:t>
            </w:r>
          </w:p>
        </w:tc>
        <w:tc>
          <w:tcPr>
            <w:tcW w:w="7447" w:type="dxa"/>
            <w:shd w:val="clear" w:color="auto" w:fill="auto"/>
          </w:tcPr>
          <w:p w14:paraId="6A3A60D3" w14:textId="7B2E7A5C" w:rsidR="00BC3915" w:rsidRPr="009A1BE7" w:rsidRDefault="00CD2DDB">
            <w:pPr>
              <w:rPr>
                <w:sz w:val="20"/>
              </w:rPr>
            </w:pPr>
            <w:r w:rsidRPr="009A1BE7">
              <w:rPr>
                <w:sz w:val="20"/>
              </w:rPr>
              <w:t>I</w:t>
            </w:r>
            <w:r w:rsidR="00E310F1" w:rsidRPr="009A1BE7">
              <w:rPr>
                <w:sz w:val="20"/>
              </w:rPr>
              <w:t>nitially 0, subsequently adjusted to the achieved value of the previous reporting round</w:t>
            </w:r>
          </w:p>
        </w:tc>
      </w:tr>
      <w:tr w:rsidR="00FB64C0" w:rsidRPr="00255291" w14:paraId="6561F457" w14:textId="77777777" w:rsidTr="009A1BE7">
        <w:tc>
          <w:tcPr>
            <w:tcW w:w="2028" w:type="dxa"/>
            <w:shd w:val="clear" w:color="auto" w:fill="auto"/>
          </w:tcPr>
          <w:p w14:paraId="3A448C77" w14:textId="77777777" w:rsidR="00FB64C0" w:rsidRPr="009A1BE7" w:rsidRDefault="00FB64C0" w:rsidP="00FD7872">
            <w:pPr>
              <w:rPr>
                <w:sz w:val="20"/>
              </w:rPr>
            </w:pPr>
            <w:r w:rsidRPr="009A1BE7">
              <w:rPr>
                <w:sz w:val="20"/>
              </w:rPr>
              <w:t>RRF pillars</w:t>
            </w:r>
          </w:p>
        </w:tc>
        <w:tc>
          <w:tcPr>
            <w:tcW w:w="7447" w:type="dxa"/>
            <w:shd w:val="clear" w:color="auto" w:fill="auto"/>
          </w:tcPr>
          <w:p w14:paraId="72CD7E8E" w14:textId="77777777" w:rsidR="00FB64C0" w:rsidRPr="009A1BE7" w:rsidRDefault="00FB64C0" w:rsidP="00FD7872">
            <w:pPr>
              <w:rPr>
                <w:sz w:val="20"/>
              </w:rPr>
            </w:pPr>
            <w:r w:rsidRPr="009A1BE7">
              <w:rPr>
                <w:sz w:val="20"/>
              </w:rPr>
              <w:t>Pillar 1 Green transition</w:t>
            </w:r>
          </w:p>
          <w:p w14:paraId="507CF8CF" w14:textId="77777777" w:rsidR="00FB64C0" w:rsidRPr="009A1BE7" w:rsidRDefault="00FB64C0" w:rsidP="00FD7872">
            <w:pPr>
              <w:rPr>
                <w:sz w:val="20"/>
              </w:rPr>
            </w:pPr>
            <w:r w:rsidRPr="009A1BE7">
              <w:rPr>
                <w:sz w:val="20"/>
              </w:rPr>
              <w:t>Pillar 3 Smart, sustainable and inclusive growth, including economic cohesion, jobs, productivity, competitiveness, research, development and innovation, and a well-functioning internal market with strong SMEs</w:t>
            </w:r>
          </w:p>
        </w:tc>
      </w:tr>
      <w:tr w:rsidR="00FB64C0" w:rsidRPr="00255291" w14:paraId="5D2A0285" w14:textId="77777777" w:rsidTr="009A1BE7">
        <w:tc>
          <w:tcPr>
            <w:tcW w:w="2028" w:type="dxa"/>
            <w:shd w:val="clear" w:color="auto" w:fill="auto"/>
          </w:tcPr>
          <w:p w14:paraId="79E790F5" w14:textId="77777777" w:rsidR="00FB64C0" w:rsidRPr="009A1BE7" w:rsidRDefault="00FB64C0" w:rsidP="00FD7872">
            <w:pPr>
              <w:rPr>
                <w:sz w:val="20"/>
              </w:rPr>
            </w:pPr>
            <w:r w:rsidRPr="009A1BE7">
              <w:rPr>
                <w:sz w:val="20"/>
              </w:rPr>
              <w:t>Definition and concepts</w:t>
            </w:r>
          </w:p>
        </w:tc>
        <w:tc>
          <w:tcPr>
            <w:tcW w:w="7447" w:type="dxa"/>
            <w:shd w:val="clear" w:color="auto" w:fill="auto"/>
          </w:tcPr>
          <w:p w14:paraId="43B101A9" w14:textId="77777777" w:rsidR="00FB64C0" w:rsidRPr="009A1BE7" w:rsidRDefault="00FB64C0">
            <w:pPr>
              <w:rPr>
                <w:sz w:val="20"/>
              </w:rPr>
            </w:pPr>
            <w:r w:rsidRPr="009A1BE7">
              <w:rPr>
                <w:sz w:val="20"/>
              </w:rPr>
              <w:t>Number of refuelling/recharging points (new or upgraded) for clean vehicles supported by measures under the Facility.</w:t>
            </w:r>
            <w:r w:rsidR="003C455E" w:rsidRPr="009A1BE7">
              <w:rPr>
                <w:sz w:val="20"/>
              </w:rPr>
              <w:t xml:space="preserve"> The value reported is the number produced over the reporting period in addition to the number reported in the previous reporting round. </w:t>
            </w:r>
          </w:p>
          <w:p w14:paraId="78999791" w14:textId="77777777" w:rsidR="00FB64C0" w:rsidRPr="009A1BE7" w:rsidRDefault="00FB64C0">
            <w:pPr>
              <w:rPr>
                <w:sz w:val="20"/>
              </w:rPr>
            </w:pPr>
            <w:r w:rsidRPr="009A1BE7">
              <w:rPr>
                <w:sz w:val="20"/>
              </w:rPr>
              <w:t>A recharging point shall be defined as an interface that is capable of charging one electric vehicle at a time or exchanging a battery of one electric vehicle at a time. A refuelling point shall refer to a refuelling facility for the provision of alternative fuel through a fixed or a mobile installation.</w:t>
            </w:r>
          </w:p>
          <w:p w14:paraId="37589A73" w14:textId="77777777" w:rsidR="00FB64C0" w:rsidRPr="009A1BE7" w:rsidRDefault="00FB64C0" w:rsidP="00FD7872">
            <w:pPr>
              <w:rPr>
                <w:sz w:val="20"/>
              </w:rPr>
            </w:pPr>
            <w:r w:rsidRPr="009A1BE7">
              <w:rPr>
                <w:sz w:val="20"/>
              </w:rPr>
              <w:t>Alternative fuel shall be defined to include fuels or power sources which serve, at least partly, as a substitute for fossil oil sources in the energy supply to transport and which have the potential to contribute to its decarbonisation and enhance the environmental performance of the transport sector and that are in line with Directive 2018/2001.</w:t>
            </w:r>
          </w:p>
        </w:tc>
      </w:tr>
      <w:tr w:rsidR="002D7C0F" w:rsidRPr="00255291" w14:paraId="4CE783E6" w14:textId="77777777" w:rsidTr="009A1BE7">
        <w:tc>
          <w:tcPr>
            <w:tcW w:w="2028" w:type="dxa"/>
          </w:tcPr>
          <w:p w14:paraId="2FAF92DE" w14:textId="77777777" w:rsidR="002D7C0F" w:rsidRPr="009A1BE7" w:rsidRDefault="002D7C0F" w:rsidP="4A7ACA3B">
            <w:pPr>
              <w:rPr>
                <w:sz w:val="20"/>
              </w:rPr>
            </w:pPr>
            <w:r w:rsidRPr="009A1BE7">
              <w:rPr>
                <w:sz w:val="20"/>
              </w:rPr>
              <w:t>Time measurement</w:t>
            </w:r>
          </w:p>
        </w:tc>
        <w:tc>
          <w:tcPr>
            <w:tcW w:w="7447" w:type="dxa"/>
            <w:tcBorders>
              <w:top w:val="single" w:sz="4" w:space="0" w:color="auto"/>
              <w:left w:val="nil"/>
              <w:bottom w:val="single" w:sz="4" w:space="0" w:color="auto"/>
              <w:right w:val="single" w:sz="4" w:space="0" w:color="auto"/>
            </w:tcBorders>
            <w:shd w:val="clear" w:color="auto" w:fill="auto"/>
          </w:tcPr>
          <w:p w14:paraId="7DA20D5C" w14:textId="77777777" w:rsidR="002D7C0F" w:rsidRPr="009A1BE7" w:rsidRDefault="001C7654" w:rsidP="4A7ACA3B">
            <w:pPr>
              <w:rPr>
                <w:sz w:val="20"/>
              </w:rPr>
            </w:pPr>
            <w:r w:rsidRPr="009A1BE7">
              <w:rPr>
                <w:sz w:val="20"/>
                <w:lang w:val="en-IE"/>
              </w:rPr>
              <w:t xml:space="preserve">The refuelling/recharging point shall be counted as soon </w:t>
            </w:r>
            <w:r w:rsidR="002D7C0F" w:rsidRPr="009A1BE7">
              <w:rPr>
                <w:sz w:val="20"/>
                <w:lang w:val="en-IE"/>
              </w:rPr>
              <w:t>i</w:t>
            </w:r>
            <w:r w:rsidRPr="009A1BE7">
              <w:rPr>
                <w:sz w:val="20"/>
                <w:lang w:val="en-IE"/>
              </w:rPr>
              <w:t>t is</w:t>
            </w:r>
            <w:r w:rsidR="002D7C0F" w:rsidRPr="009A1BE7">
              <w:rPr>
                <w:sz w:val="20"/>
                <w:lang w:val="en-IE"/>
              </w:rPr>
              <w:t xml:space="preserve"> operational (i.e. ready to produce or already producing energy)</w:t>
            </w:r>
            <w:r w:rsidR="0094059C" w:rsidRPr="009A1BE7">
              <w:rPr>
                <w:sz w:val="20"/>
                <w:lang w:val="en-IE"/>
              </w:rPr>
              <w:t xml:space="preserve"> as defined in the general principles</w:t>
            </w:r>
            <w:r w:rsidR="002D7C0F" w:rsidRPr="009A1BE7">
              <w:rPr>
                <w:sz w:val="20"/>
                <w:lang w:val="en-IE"/>
              </w:rPr>
              <w:t xml:space="preserve">. </w:t>
            </w:r>
          </w:p>
        </w:tc>
      </w:tr>
      <w:tr w:rsidR="00CD2DDB" w:rsidRPr="00255291" w14:paraId="7738536E" w14:textId="77777777" w:rsidTr="009A1BE7">
        <w:tc>
          <w:tcPr>
            <w:tcW w:w="2028" w:type="dxa"/>
          </w:tcPr>
          <w:p w14:paraId="6474225F" w14:textId="65D07278" w:rsidR="00CD2DDB" w:rsidRPr="009A1BE7" w:rsidRDefault="00CD2DDB" w:rsidP="4A7ACA3B">
            <w:pPr>
              <w:rPr>
                <w:sz w:val="20"/>
              </w:rPr>
            </w:pPr>
            <w:r w:rsidRPr="009A1BE7">
              <w:rPr>
                <w:sz w:val="20"/>
              </w:rPr>
              <w:t>Counting methodology</w:t>
            </w:r>
          </w:p>
        </w:tc>
        <w:tc>
          <w:tcPr>
            <w:tcW w:w="7447" w:type="dxa"/>
            <w:tcBorders>
              <w:top w:val="single" w:sz="4" w:space="0" w:color="auto"/>
              <w:left w:val="nil"/>
              <w:bottom w:val="single" w:sz="4" w:space="0" w:color="auto"/>
              <w:right w:val="single" w:sz="4" w:space="0" w:color="auto"/>
            </w:tcBorders>
            <w:shd w:val="clear" w:color="auto" w:fill="auto"/>
          </w:tcPr>
          <w:p w14:paraId="5657893A" w14:textId="0BB72027" w:rsidR="00CD2DDB" w:rsidRPr="009A1BE7" w:rsidRDefault="00CD2DDB" w:rsidP="4A7ACA3B">
            <w:pPr>
              <w:rPr>
                <w:sz w:val="20"/>
                <w:lang w:val="en-IE"/>
              </w:rPr>
            </w:pPr>
            <w:r w:rsidRPr="009A1BE7">
              <w:rPr>
                <w:sz w:val="20"/>
                <w:lang w:val="en-IE"/>
              </w:rPr>
              <w:t xml:space="preserve">As defined </w:t>
            </w:r>
          </w:p>
        </w:tc>
      </w:tr>
      <w:tr w:rsidR="002D7C0F" w:rsidRPr="00255291" w14:paraId="52118C7F" w14:textId="77777777" w:rsidTr="009A1BE7">
        <w:tc>
          <w:tcPr>
            <w:tcW w:w="2028" w:type="dxa"/>
          </w:tcPr>
          <w:p w14:paraId="68BBE399" w14:textId="77777777" w:rsidR="002D7C0F" w:rsidRPr="009A1BE7" w:rsidRDefault="002D7C0F" w:rsidP="002D7C0F">
            <w:pPr>
              <w:rPr>
                <w:sz w:val="20"/>
              </w:rPr>
            </w:pPr>
            <w:r w:rsidRPr="009A1BE7">
              <w:rPr>
                <w:sz w:val="20"/>
              </w:rPr>
              <w:t xml:space="preserve">Disaggregation </w:t>
            </w:r>
          </w:p>
        </w:tc>
        <w:tc>
          <w:tcPr>
            <w:tcW w:w="7447" w:type="dxa"/>
            <w:tcBorders>
              <w:top w:val="single" w:sz="4" w:space="0" w:color="auto"/>
              <w:left w:val="nil"/>
              <w:bottom w:val="single" w:sz="4" w:space="0" w:color="auto"/>
              <w:right w:val="single" w:sz="4" w:space="0" w:color="auto"/>
            </w:tcBorders>
            <w:shd w:val="clear" w:color="auto" w:fill="auto"/>
          </w:tcPr>
          <w:p w14:paraId="0B1744A5" w14:textId="77777777" w:rsidR="002D7C0F" w:rsidRPr="009A1BE7" w:rsidRDefault="002D7C0F" w:rsidP="002D7C0F">
            <w:pPr>
              <w:rPr>
                <w:sz w:val="20"/>
              </w:rPr>
            </w:pPr>
            <w:r w:rsidRPr="009A1BE7">
              <w:rPr>
                <w:sz w:val="20"/>
              </w:rPr>
              <w:t>It shall be disaggregated by:</w:t>
            </w:r>
          </w:p>
          <w:p w14:paraId="16B11C2D" w14:textId="77777777" w:rsidR="002D7C0F" w:rsidRPr="009A1BE7" w:rsidRDefault="002D7C0F" w:rsidP="002D7C0F">
            <w:pPr>
              <w:pStyle w:val="ListParagraph"/>
              <w:numPr>
                <w:ilvl w:val="0"/>
                <w:numId w:val="26"/>
              </w:numPr>
              <w:rPr>
                <w:noProof/>
                <w:color w:val="000000"/>
                <w:sz w:val="20"/>
                <w:lang w:eastAsia="en-IE"/>
              </w:rPr>
            </w:pPr>
            <w:r w:rsidRPr="009A1BE7">
              <w:rPr>
                <w:noProof/>
                <w:color w:val="000000"/>
                <w:sz w:val="20"/>
                <w:lang w:eastAsia="en-IE"/>
              </w:rPr>
              <w:t xml:space="preserve">recharging points and </w:t>
            </w:r>
          </w:p>
          <w:p w14:paraId="2392A099" w14:textId="77777777" w:rsidR="002D7C0F" w:rsidRPr="009A1BE7" w:rsidRDefault="002D7C0F" w:rsidP="002D7C0F">
            <w:pPr>
              <w:pStyle w:val="ListParagraph"/>
              <w:numPr>
                <w:ilvl w:val="0"/>
                <w:numId w:val="26"/>
              </w:numPr>
              <w:rPr>
                <w:noProof/>
                <w:color w:val="000000"/>
                <w:sz w:val="20"/>
                <w:lang w:val="en-IE" w:eastAsia="en-IE"/>
              </w:rPr>
            </w:pPr>
            <w:r w:rsidRPr="009A1BE7">
              <w:rPr>
                <w:noProof/>
                <w:color w:val="000000"/>
                <w:sz w:val="20"/>
                <w:lang w:eastAsia="en-IE"/>
              </w:rPr>
              <w:t xml:space="preserve">refuelling points. </w:t>
            </w:r>
          </w:p>
          <w:p w14:paraId="4B27D48A" w14:textId="77777777" w:rsidR="002D7C0F" w:rsidRPr="009A1BE7" w:rsidRDefault="002D7C0F" w:rsidP="002D7C0F">
            <w:pPr>
              <w:pStyle w:val="ListParagraph"/>
              <w:numPr>
                <w:ilvl w:val="0"/>
                <w:numId w:val="26"/>
              </w:numPr>
              <w:rPr>
                <w:noProof/>
                <w:color w:val="000000"/>
                <w:sz w:val="20"/>
                <w:lang w:val="en-IE" w:eastAsia="en-IE"/>
              </w:rPr>
            </w:pPr>
            <w:r w:rsidRPr="009A1BE7">
              <w:rPr>
                <w:noProof/>
                <w:color w:val="000000"/>
                <w:sz w:val="20"/>
                <w:lang w:eastAsia="en-IE"/>
              </w:rPr>
              <w:t>As part of (ii), hydrogen refuelling points shall be reported separately.</w:t>
            </w:r>
          </w:p>
        </w:tc>
      </w:tr>
      <w:tr w:rsidR="002D7C0F" w:rsidRPr="00255291" w14:paraId="4730B0E2" w14:textId="77777777" w:rsidTr="009A1BE7">
        <w:tc>
          <w:tcPr>
            <w:tcW w:w="2028" w:type="dxa"/>
          </w:tcPr>
          <w:p w14:paraId="0647C03A" w14:textId="77777777" w:rsidR="002D7C0F" w:rsidRPr="009A1BE7" w:rsidRDefault="002D7C0F" w:rsidP="002D7C0F">
            <w:pPr>
              <w:rPr>
                <w:sz w:val="20"/>
              </w:rPr>
            </w:pPr>
            <w:r w:rsidRPr="009A1BE7">
              <w:rPr>
                <w:sz w:val="20"/>
              </w:rPr>
              <w:t xml:space="preserve">References </w:t>
            </w:r>
          </w:p>
        </w:tc>
        <w:tc>
          <w:tcPr>
            <w:tcW w:w="7447" w:type="dxa"/>
            <w:tcBorders>
              <w:top w:val="single" w:sz="4" w:space="0" w:color="auto"/>
              <w:left w:val="nil"/>
              <w:bottom w:val="single" w:sz="4" w:space="0" w:color="auto"/>
              <w:right w:val="single" w:sz="4" w:space="0" w:color="auto"/>
            </w:tcBorders>
            <w:shd w:val="clear" w:color="auto" w:fill="auto"/>
          </w:tcPr>
          <w:p w14:paraId="09A62D9E" w14:textId="77777777" w:rsidR="002D7C0F" w:rsidRPr="009A1BE7" w:rsidRDefault="002D7C0F" w:rsidP="002D7C0F">
            <w:pPr>
              <w:rPr>
                <w:noProof/>
                <w:color w:val="000000"/>
                <w:sz w:val="20"/>
                <w:lang w:val="en-IE" w:eastAsia="en-IE"/>
              </w:rPr>
            </w:pPr>
            <w:r w:rsidRPr="009A1BE7">
              <w:rPr>
                <w:noProof/>
                <w:color w:val="000000"/>
                <w:sz w:val="20"/>
                <w:lang w:val="en-US" w:eastAsia="en-IE"/>
              </w:rPr>
              <w:t>Article 29 of Directive 2018/2001 that sets out sustainability and greenhouse gas emissions saving criteria for biofuels, bioliquids and biomass fuels.</w:t>
            </w:r>
          </w:p>
        </w:tc>
      </w:tr>
      <w:tr w:rsidR="002D7C0F" w:rsidRPr="00255291" w14:paraId="733244A4" w14:textId="77777777" w:rsidTr="009A1BE7">
        <w:tc>
          <w:tcPr>
            <w:tcW w:w="2028" w:type="dxa"/>
          </w:tcPr>
          <w:p w14:paraId="31FEA791" w14:textId="77777777" w:rsidR="002D7C0F" w:rsidRPr="009A1BE7" w:rsidRDefault="002D7C0F" w:rsidP="002D7C0F">
            <w:pPr>
              <w:rPr>
                <w:sz w:val="20"/>
              </w:rPr>
            </w:pPr>
            <w:r w:rsidRPr="009A1BE7">
              <w:rPr>
                <w:sz w:val="20"/>
              </w:rPr>
              <w:t>Corresponding Structural Funds indicator(s)</w:t>
            </w:r>
          </w:p>
        </w:tc>
        <w:tc>
          <w:tcPr>
            <w:tcW w:w="7447" w:type="dxa"/>
            <w:tcBorders>
              <w:top w:val="single" w:sz="4" w:space="0" w:color="auto"/>
              <w:left w:val="nil"/>
              <w:bottom w:val="single" w:sz="4" w:space="0" w:color="auto"/>
              <w:right w:val="single" w:sz="4" w:space="0" w:color="auto"/>
            </w:tcBorders>
            <w:shd w:val="clear" w:color="auto" w:fill="auto"/>
          </w:tcPr>
          <w:p w14:paraId="116F3ADF" w14:textId="77777777" w:rsidR="002D7C0F" w:rsidRPr="009A1BE7" w:rsidRDefault="002D7C0F" w:rsidP="002D7C0F">
            <w:pPr>
              <w:rPr>
                <w:noProof/>
                <w:color w:val="000000"/>
                <w:sz w:val="20"/>
                <w:lang w:eastAsia="en-IE"/>
              </w:rPr>
            </w:pPr>
            <w:r w:rsidRPr="009A1BE7">
              <w:rPr>
                <w:noProof/>
                <w:color w:val="000000"/>
                <w:sz w:val="20"/>
                <w:lang w:eastAsia="en-IE"/>
              </w:rPr>
              <w:t>RCO59</w:t>
            </w:r>
            <w:r w:rsidRPr="009A1BE7">
              <w:rPr>
                <w:rFonts w:eastAsia="Times New Roman"/>
                <w:noProof/>
                <w:color w:val="000000"/>
                <w:sz w:val="20"/>
                <w:szCs w:val="20"/>
                <w:lang w:val="en-IE" w:eastAsia="en-IE"/>
              </w:rPr>
              <w:t xml:space="preserve"> </w:t>
            </w:r>
            <w:r w:rsidRPr="009A1BE7">
              <w:rPr>
                <w:noProof/>
                <w:color w:val="000000"/>
                <w:sz w:val="20"/>
                <w:lang w:val="en-IE" w:eastAsia="en-IE"/>
              </w:rPr>
              <w:t>Alternative fuels infrastructure (refuelling/ recharging points)</w:t>
            </w:r>
          </w:p>
        </w:tc>
      </w:tr>
    </w:tbl>
    <w:p w14:paraId="59BBC608" w14:textId="799F4B0F" w:rsidR="00FB64C0" w:rsidRPr="00FE65E5" w:rsidRDefault="006D57FD" w:rsidP="00FE65E5">
      <w:pPr>
        <w:pStyle w:val="ListParagraph"/>
        <w:ind w:left="1152"/>
        <w:rPr>
          <w:b/>
        </w:rPr>
      </w:pPr>
      <w:r w:rsidRPr="00255291">
        <w:rPr>
          <w:b/>
        </w:rPr>
        <w:br w:type="page"/>
      </w:r>
    </w:p>
    <w:p w14:paraId="1643FC76" w14:textId="44A2D388" w:rsidR="00FB64C0" w:rsidRDefault="00FB64C0" w:rsidP="001F5716">
      <w:pPr>
        <w:pStyle w:val="Heading2"/>
        <w:numPr>
          <w:ilvl w:val="1"/>
          <w:numId w:val="43"/>
        </w:numPr>
        <w:rPr>
          <w:rFonts w:ascii="Times New Roman" w:hAnsi="Times New Roman" w:cs="Times New Roman"/>
          <w:b/>
          <w:color w:val="auto"/>
        </w:rPr>
      </w:pPr>
      <w:bookmarkStart w:id="12" w:name="_Toc93393179"/>
      <w:r w:rsidRPr="00255291">
        <w:rPr>
          <w:rFonts w:ascii="Times New Roman" w:hAnsi="Times New Roman" w:cs="Times New Roman"/>
          <w:b/>
          <w:color w:val="auto"/>
        </w:rPr>
        <w:lastRenderedPageBreak/>
        <w:t>Populat</w:t>
      </w:r>
      <w:r w:rsidR="00831D8F">
        <w:rPr>
          <w:rFonts w:ascii="Times New Roman" w:hAnsi="Times New Roman" w:cs="Times New Roman"/>
          <w:b/>
          <w:color w:val="auto"/>
        </w:rPr>
        <w:t xml:space="preserve">ion benefiting from protection </w:t>
      </w:r>
      <w:r w:rsidRPr="00255291">
        <w:rPr>
          <w:rFonts w:ascii="Times New Roman" w:hAnsi="Times New Roman" w:cs="Times New Roman"/>
          <w:b/>
          <w:color w:val="auto"/>
        </w:rPr>
        <w:t>measures against floods, wildfires, and other climate related natural disasters</w:t>
      </w:r>
      <w:bookmarkEnd w:id="12"/>
    </w:p>
    <w:p w14:paraId="3A6A8821" w14:textId="77777777" w:rsidR="001F5716" w:rsidRPr="001F5716" w:rsidRDefault="001F5716" w:rsidP="001F5716"/>
    <w:tbl>
      <w:tblPr>
        <w:tblStyle w:val="TableGrid"/>
        <w:tblW w:w="9475" w:type="dxa"/>
        <w:tblLook w:val="04A0" w:firstRow="1" w:lastRow="0" w:firstColumn="1" w:lastColumn="0" w:noHBand="0" w:noVBand="1"/>
      </w:tblPr>
      <w:tblGrid>
        <w:gridCol w:w="2028"/>
        <w:gridCol w:w="7447"/>
      </w:tblGrid>
      <w:tr w:rsidR="00FB64C0" w:rsidRPr="00255291" w14:paraId="5B7F155F" w14:textId="77777777" w:rsidTr="009A1BE7">
        <w:tc>
          <w:tcPr>
            <w:tcW w:w="2028" w:type="dxa"/>
          </w:tcPr>
          <w:p w14:paraId="4938E7E6" w14:textId="77777777" w:rsidR="00FB64C0" w:rsidRPr="009A1BE7" w:rsidRDefault="00FB64C0" w:rsidP="00FD7872">
            <w:pPr>
              <w:rPr>
                <w:sz w:val="20"/>
              </w:rPr>
            </w:pPr>
            <w:r w:rsidRPr="009A1BE7">
              <w:rPr>
                <w:sz w:val="20"/>
              </w:rPr>
              <w:t>Indicator code</w:t>
            </w:r>
          </w:p>
        </w:tc>
        <w:tc>
          <w:tcPr>
            <w:tcW w:w="7447" w:type="dxa"/>
          </w:tcPr>
          <w:p w14:paraId="272542C4" w14:textId="77777777" w:rsidR="00FB64C0" w:rsidRPr="009A1BE7" w:rsidRDefault="00FB64C0" w:rsidP="00FD7872">
            <w:pPr>
              <w:rPr>
                <w:sz w:val="20"/>
              </w:rPr>
            </w:pPr>
            <w:r w:rsidRPr="009A1BE7">
              <w:rPr>
                <w:sz w:val="20"/>
              </w:rPr>
              <w:t>RRFCI04</w:t>
            </w:r>
          </w:p>
        </w:tc>
      </w:tr>
      <w:tr w:rsidR="00FB64C0" w:rsidRPr="00255291" w14:paraId="7B8EC284" w14:textId="77777777" w:rsidTr="009A1BE7">
        <w:tc>
          <w:tcPr>
            <w:tcW w:w="2028" w:type="dxa"/>
            <w:shd w:val="clear" w:color="auto" w:fill="auto"/>
          </w:tcPr>
          <w:p w14:paraId="3563B1E2" w14:textId="77777777" w:rsidR="00FB64C0" w:rsidRPr="009A1BE7" w:rsidRDefault="00FB64C0" w:rsidP="00FD7872">
            <w:pPr>
              <w:rPr>
                <w:sz w:val="20"/>
              </w:rPr>
            </w:pPr>
            <w:r w:rsidRPr="009A1BE7">
              <w:rPr>
                <w:sz w:val="20"/>
              </w:rPr>
              <w:t>Indicator name</w:t>
            </w:r>
          </w:p>
        </w:tc>
        <w:tc>
          <w:tcPr>
            <w:tcW w:w="7447" w:type="dxa"/>
            <w:shd w:val="clear" w:color="auto" w:fill="auto"/>
          </w:tcPr>
          <w:p w14:paraId="4CABF2CF" w14:textId="77777777" w:rsidR="00FB64C0" w:rsidRPr="009A1BE7" w:rsidRDefault="00FB64C0" w:rsidP="00FD7872">
            <w:pPr>
              <w:rPr>
                <w:sz w:val="20"/>
              </w:rPr>
            </w:pPr>
            <w:r w:rsidRPr="009A1BE7">
              <w:rPr>
                <w:sz w:val="20"/>
                <w:lang w:val="en-US"/>
              </w:rPr>
              <w:t>Population benefiting from protection measures against floods, wildfires, and other climate related natural disasters</w:t>
            </w:r>
          </w:p>
        </w:tc>
      </w:tr>
      <w:tr w:rsidR="00FB64C0" w:rsidRPr="00255291" w14:paraId="59589706" w14:textId="77777777" w:rsidTr="009A1BE7">
        <w:tc>
          <w:tcPr>
            <w:tcW w:w="2028" w:type="dxa"/>
            <w:shd w:val="clear" w:color="auto" w:fill="auto"/>
          </w:tcPr>
          <w:p w14:paraId="2EC9418F" w14:textId="77777777" w:rsidR="00FB64C0" w:rsidRPr="009A1BE7" w:rsidRDefault="00FB64C0" w:rsidP="00FD7872">
            <w:pPr>
              <w:rPr>
                <w:sz w:val="20"/>
              </w:rPr>
            </w:pPr>
            <w:r w:rsidRPr="009A1BE7">
              <w:rPr>
                <w:sz w:val="20"/>
              </w:rPr>
              <w:t>Measurement unit</w:t>
            </w:r>
          </w:p>
        </w:tc>
        <w:tc>
          <w:tcPr>
            <w:tcW w:w="7447" w:type="dxa"/>
            <w:shd w:val="clear" w:color="auto" w:fill="auto"/>
          </w:tcPr>
          <w:p w14:paraId="79E4CB4F" w14:textId="77777777" w:rsidR="00FB64C0" w:rsidRPr="009A1BE7" w:rsidRDefault="00FB64C0" w:rsidP="00FD7872">
            <w:pPr>
              <w:rPr>
                <w:sz w:val="20"/>
              </w:rPr>
            </w:pPr>
            <w:r w:rsidRPr="009A1BE7">
              <w:rPr>
                <w:sz w:val="20"/>
              </w:rPr>
              <w:t>Persons</w:t>
            </w:r>
          </w:p>
        </w:tc>
      </w:tr>
      <w:tr w:rsidR="00D0748F" w:rsidRPr="00255291" w14:paraId="6B9F5DCB" w14:textId="77777777" w:rsidTr="009A1BE7">
        <w:tc>
          <w:tcPr>
            <w:tcW w:w="2028" w:type="dxa"/>
            <w:shd w:val="clear" w:color="auto" w:fill="auto"/>
          </w:tcPr>
          <w:p w14:paraId="22B53A92" w14:textId="615DB117" w:rsidR="00D0748F" w:rsidRPr="009A1BE7" w:rsidRDefault="00D0748F" w:rsidP="00FD7872">
            <w:pPr>
              <w:rPr>
                <w:sz w:val="20"/>
              </w:rPr>
            </w:pPr>
            <w:r w:rsidRPr="009A1BE7">
              <w:rPr>
                <w:sz w:val="20"/>
              </w:rPr>
              <w:t>Type of indicator</w:t>
            </w:r>
          </w:p>
        </w:tc>
        <w:tc>
          <w:tcPr>
            <w:tcW w:w="7447" w:type="dxa"/>
            <w:shd w:val="clear" w:color="auto" w:fill="auto"/>
          </w:tcPr>
          <w:p w14:paraId="1D94AC36" w14:textId="131C6136" w:rsidR="00D0748F" w:rsidRPr="009A1BE7" w:rsidRDefault="00D0748F" w:rsidP="00FD7872">
            <w:pPr>
              <w:rPr>
                <w:sz w:val="20"/>
              </w:rPr>
            </w:pPr>
            <w:r w:rsidRPr="009A1BE7">
              <w:rPr>
                <w:sz w:val="20"/>
              </w:rPr>
              <w:t>Stock</w:t>
            </w:r>
          </w:p>
        </w:tc>
      </w:tr>
      <w:tr w:rsidR="00597BFE" w:rsidRPr="00255291" w14:paraId="785BE03A" w14:textId="77777777" w:rsidTr="009A1BE7">
        <w:tc>
          <w:tcPr>
            <w:tcW w:w="2028" w:type="dxa"/>
            <w:shd w:val="clear" w:color="auto" w:fill="auto"/>
          </w:tcPr>
          <w:p w14:paraId="36A6AECD" w14:textId="77777777" w:rsidR="00597BFE" w:rsidRPr="009A1BE7" w:rsidRDefault="00597BFE" w:rsidP="00FD7872">
            <w:pPr>
              <w:rPr>
                <w:sz w:val="20"/>
              </w:rPr>
            </w:pPr>
            <w:r w:rsidRPr="009A1BE7">
              <w:rPr>
                <w:sz w:val="20"/>
              </w:rPr>
              <w:t>Baseline</w:t>
            </w:r>
          </w:p>
        </w:tc>
        <w:tc>
          <w:tcPr>
            <w:tcW w:w="7447" w:type="dxa"/>
            <w:shd w:val="clear" w:color="auto" w:fill="auto"/>
          </w:tcPr>
          <w:p w14:paraId="396F27EF" w14:textId="75C38F7E" w:rsidR="00BC3915" w:rsidRPr="009A1BE7" w:rsidRDefault="00CD2DDB">
            <w:pPr>
              <w:rPr>
                <w:sz w:val="20"/>
              </w:rPr>
            </w:pPr>
            <w:r w:rsidRPr="009A1BE7">
              <w:rPr>
                <w:sz w:val="20"/>
              </w:rPr>
              <w:t>I</w:t>
            </w:r>
            <w:r w:rsidR="00E310F1" w:rsidRPr="009A1BE7">
              <w:rPr>
                <w:sz w:val="20"/>
              </w:rPr>
              <w:t>nitially 0, subsequently adjusted to the achieved value of the previous reporting round</w:t>
            </w:r>
          </w:p>
        </w:tc>
      </w:tr>
      <w:tr w:rsidR="00FB64C0" w:rsidRPr="00255291" w14:paraId="65650D46" w14:textId="77777777" w:rsidTr="009A1BE7">
        <w:tc>
          <w:tcPr>
            <w:tcW w:w="2028" w:type="dxa"/>
            <w:shd w:val="clear" w:color="auto" w:fill="auto"/>
          </w:tcPr>
          <w:p w14:paraId="77B5FA31" w14:textId="77777777" w:rsidR="00FB64C0" w:rsidRPr="009A1BE7" w:rsidRDefault="00FB64C0" w:rsidP="00FD7872">
            <w:pPr>
              <w:rPr>
                <w:sz w:val="20"/>
              </w:rPr>
            </w:pPr>
            <w:r w:rsidRPr="009A1BE7">
              <w:rPr>
                <w:sz w:val="20"/>
              </w:rPr>
              <w:t>RRF Pillars</w:t>
            </w:r>
          </w:p>
        </w:tc>
        <w:tc>
          <w:tcPr>
            <w:tcW w:w="7447" w:type="dxa"/>
            <w:shd w:val="clear" w:color="auto" w:fill="auto"/>
          </w:tcPr>
          <w:p w14:paraId="1B4C2403" w14:textId="77777777" w:rsidR="00FB64C0" w:rsidRPr="009A1BE7" w:rsidRDefault="00FB64C0" w:rsidP="00FD7872">
            <w:pPr>
              <w:rPr>
                <w:sz w:val="20"/>
              </w:rPr>
            </w:pPr>
            <w:r w:rsidRPr="009A1BE7">
              <w:rPr>
                <w:sz w:val="20"/>
              </w:rPr>
              <w:t>Pillar 1 Green transition</w:t>
            </w:r>
          </w:p>
          <w:p w14:paraId="530E4475" w14:textId="77777777" w:rsidR="00FB64C0" w:rsidRPr="009A1BE7" w:rsidRDefault="00FB64C0" w:rsidP="00FD7872">
            <w:pPr>
              <w:rPr>
                <w:sz w:val="20"/>
              </w:rPr>
            </w:pPr>
            <w:r w:rsidRPr="009A1BE7">
              <w:rPr>
                <w:sz w:val="20"/>
              </w:rPr>
              <w:t>Pillar 4 Social and territorial cohesion</w:t>
            </w:r>
          </w:p>
        </w:tc>
      </w:tr>
      <w:tr w:rsidR="00FB64C0" w:rsidRPr="00255291" w14:paraId="28D328E5" w14:textId="77777777" w:rsidTr="009A1BE7">
        <w:tc>
          <w:tcPr>
            <w:tcW w:w="2028" w:type="dxa"/>
            <w:shd w:val="clear" w:color="auto" w:fill="auto"/>
          </w:tcPr>
          <w:p w14:paraId="70BB2F49" w14:textId="77777777" w:rsidR="00FB64C0" w:rsidRPr="009A1BE7" w:rsidRDefault="00FB64C0" w:rsidP="00FD7872">
            <w:pPr>
              <w:rPr>
                <w:sz w:val="20"/>
              </w:rPr>
            </w:pPr>
            <w:r w:rsidRPr="009A1BE7">
              <w:rPr>
                <w:sz w:val="20"/>
              </w:rPr>
              <w:t>Definition and concepts</w:t>
            </w:r>
          </w:p>
        </w:tc>
        <w:tc>
          <w:tcPr>
            <w:tcW w:w="7447" w:type="dxa"/>
            <w:shd w:val="clear" w:color="auto" w:fill="auto"/>
          </w:tcPr>
          <w:p w14:paraId="48B12B62" w14:textId="77777777" w:rsidR="00CD2DDB" w:rsidRPr="009A1BE7" w:rsidRDefault="00474D9D" w:rsidP="00B205C7">
            <w:pPr>
              <w:rPr>
                <w:rFonts w:eastAsia="Times New Roman"/>
                <w:noProof/>
                <w:color w:val="000000"/>
                <w:sz w:val="20"/>
                <w:lang w:val="en-IE" w:eastAsia="en-IE"/>
              </w:rPr>
            </w:pPr>
            <w:r w:rsidRPr="009A1BE7">
              <w:rPr>
                <w:rFonts w:eastAsia="Times New Roman"/>
                <w:noProof/>
                <w:color w:val="000000"/>
                <w:sz w:val="20"/>
                <w:lang w:val="en-IE" w:eastAsia="en-IE"/>
              </w:rPr>
              <w:t>Number of persons</w:t>
            </w:r>
            <w:r w:rsidR="00FB64C0" w:rsidRPr="009A1BE7">
              <w:rPr>
                <w:rFonts w:eastAsia="Times New Roman"/>
                <w:noProof/>
                <w:color w:val="000000"/>
                <w:sz w:val="20"/>
                <w:lang w:val="en-IE" w:eastAsia="en-IE"/>
              </w:rPr>
              <w:t xml:space="preserve"> living in areas where protection infrastructure (including green infrastructure and nature-based solutions for adaptation to climate change) is built or significantly upgraded due to support by measures under the Facility in order to reduce vulnerability to flood, wildfire and other climate related natural risks (storms, droughts, heatwaves). </w:t>
            </w:r>
          </w:p>
          <w:p w14:paraId="0BF86B51" w14:textId="77777777" w:rsidR="006D57FD" w:rsidRPr="009A1BE7" w:rsidRDefault="00DD36CA" w:rsidP="00474D9D">
            <w:pPr>
              <w:rPr>
                <w:rFonts w:eastAsia="Times New Roman"/>
                <w:noProof/>
                <w:color w:val="000000"/>
                <w:sz w:val="20"/>
                <w:lang w:val="en-IE" w:eastAsia="en-IE"/>
              </w:rPr>
            </w:pPr>
            <w:r w:rsidRPr="009A1BE7">
              <w:rPr>
                <w:rFonts w:eastAsia="Times New Roman"/>
                <w:noProof/>
                <w:color w:val="000000"/>
                <w:sz w:val="20"/>
                <w:lang w:val="en-IE" w:eastAsia="en-IE"/>
              </w:rPr>
              <w:t>For wildfire and other climate related natural risks,</w:t>
            </w:r>
            <w:r w:rsidR="00421F8C" w:rsidRPr="009A1BE7">
              <w:rPr>
                <w:rFonts w:eastAsia="Times New Roman"/>
                <w:noProof/>
                <w:color w:val="000000"/>
                <w:sz w:val="20"/>
                <w:lang w:val="en-IE" w:eastAsia="en-IE"/>
              </w:rPr>
              <w:t xml:space="preserve"> t</w:t>
            </w:r>
            <w:r w:rsidR="00FB64C0" w:rsidRPr="009A1BE7">
              <w:rPr>
                <w:rFonts w:eastAsia="Times New Roman"/>
                <w:noProof/>
                <w:color w:val="000000"/>
                <w:sz w:val="20"/>
                <w:lang w:val="en-IE" w:eastAsia="en-IE"/>
              </w:rPr>
              <w:t xml:space="preserve">he indicator shall cover protection measures, which are clearly localised in high risk areas and which address directly the specific risks, as opposed to more general measures implemented at national or regional level. </w:t>
            </w:r>
          </w:p>
          <w:p w14:paraId="461182C9" w14:textId="59244D84" w:rsidR="00DE5482" w:rsidRPr="009A1BE7" w:rsidRDefault="00FB64C0" w:rsidP="00474D9D">
            <w:pPr>
              <w:rPr>
                <w:sz w:val="20"/>
              </w:rPr>
            </w:pPr>
            <w:r w:rsidRPr="009A1BE7">
              <w:rPr>
                <w:rFonts w:eastAsia="Times New Roman"/>
                <w:noProof/>
                <w:color w:val="000000"/>
                <w:sz w:val="20"/>
                <w:lang w:val="en-IE" w:eastAsia="en-IE"/>
              </w:rPr>
              <w:t>For floods, the indicator shall count the resident population at risk.</w:t>
            </w:r>
            <w:r w:rsidR="00B205C7" w:rsidRPr="009A1BE7">
              <w:rPr>
                <w:rFonts w:eastAsia="Times New Roman"/>
                <w:noProof/>
                <w:color w:val="000000"/>
                <w:sz w:val="20"/>
                <w:lang w:val="en-IE" w:eastAsia="en-IE"/>
              </w:rPr>
              <w:t xml:space="preserve"> </w:t>
            </w:r>
            <w:r w:rsidR="00B205C7" w:rsidRPr="009A1BE7">
              <w:rPr>
                <w:sz w:val="20"/>
              </w:rPr>
              <w:t xml:space="preserve">The value reported is the number of persons that are living in an area where infrastructure has been built or significantly been upgraded during the reporting period, in addition to the number reported in the previous reporting round. </w:t>
            </w:r>
          </w:p>
        </w:tc>
      </w:tr>
      <w:tr w:rsidR="00FB64C0" w:rsidRPr="00255291" w14:paraId="26B76EEE" w14:textId="77777777" w:rsidTr="009A1BE7">
        <w:tc>
          <w:tcPr>
            <w:tcW w:w="2028" w:type="dxa"/>
          </w:tcPr>
          <w:p w14:paraId="47D4A4CB" w14:textId="77777777" w:rsidR="00FB64C0" w:rsidRPr="009A1BE7" w:rsidRDefault="00FB64C0" w:rsidP="00FD7872">
            <w:pPr>
              <w:rPr>
                <w:sz w:val="20"/>
              </w:rPr>
            </w:pPr>
            <w:r w:rsidRPr="009A1BE7">
              <w:rPr>
                <w:sz w:val="20"/>
              </w:rPr>
              <w:t>Time measurement</w:t>
            </w:r>
          </w:p>
        </w:tc>
        <w:tc>
          <w:tcPr>
            <w:tcW w:w="7447" w:type="dxa"/>
          </w:tcPr>
          <w:p w14:paraId="43C2E426" w14:textId="401996BB" w:rsidR="00FB64C0" w:rsidRPr="009A1BE7" w:rsidRDefault="00642F4F" w:rsidP="00CD2DDB">
            <w:pPr>
              <w:rPr>
                <w:sz w:val="20"/>
                <w:lang w:val="en-IE"/>
              </w:rPr>
            </w:pPr>
            <w:r w:rsidRPr="009A1BE7">
              <w:rPr>
                <w:sz w:val="20"/>
              </w:rPr>
              <w:t xml:space="preserve">The number of person </w:t>
            </w:r>
            <w:r w:rsidR="00BC62F3" w:rsidRPr="009A1BE7">
              <w:rPr>
                <w:sz w:val="20"/>
              </w:rPr>
              <w:t xml:space="preserve">shall be counted upon </w:t>
            </w:r>
            <w:r w:rsidR="00461727" w:rsidRPr="009A1BE7">
              <w:rPr>
                <w:sz w:val="20"/>
              </w:rPr>
              <w:t xml:space="preserve">the date the infrastructure </w:t>
            </w:r>
            <w:r w:rsidR="00BC62F3" w:rsidRPr="009A1BE7">
              <w:rPr>
                <w:sz w:val="20"/>
              </w:rPr>
              <w:t>support</w:t>
            </w:r>
            <w:r w:rsidR="00461727" w:rsidRPr="009A1BE7">
              <w:rPr>
                <w:sz w:val="20"/>
              </w:rPr>
              <w:t>ed</w:t>
            </w:r>
            <w:r w:rsidR="00BC62F3" w:rsidRPr="009A1BE7">
              <w:rPr>
                <w:sz w:val="20"/>
              </w:rPr>
              <w:t xml:space="preserve"> by the measures under the Facility</w:t>
            </w:r>
            <w:r w:rsidR="00461727" w:rsidRPr="009A1BE7">
              <w:rPr>
                <w:sz w:val="20"/>
              </w:rPr>
              <w:t xml:space="preserve"> is operational</w:t>
            </w:r>
            <w:r w:rsidR="0094059C" w:rsidRPr="009A1BE7">
              <w:rPr>
                <w:sz w:val="20"/>
              </w:rPr>
              <w:t xml:space="preserve"> </w:t>
            </w:r>
            <w:r w:rsidR="0094059C" w:rsidRPr="009A1BE7">
              <w:rPr>
                <w:sz w:val="20"/>
                <w:lang w:val="en-IE"/>
              </w:rPr>
              <w:t>(as defined in the general principles)</w:t>
            </w:r>
            <w:r w:rsidR="00FB64C0" w:rsidRPr="009A1BE7">
              <w:rPr>
                <w:sz w:val="20"/>
                <w:lang w:val="en-IE"/>
              </w:rPr>
              <w:t>.</w:t>
            </w:r>
            <w:r w:rsidR="00A42A58" w:rsidRPr="009A1BE7">
              <w:rPr>
                <w:sz w:val="20"/>
                <w:lang w:val="en-IE"/>
              </w:rPr>
              <w:t xml:space="preserve"> </w:t>
            </w:r>
          </w:p>
        </w:tc>
      </w:tr>
      <w:tr w:rsidR="00CD2DDB" w:rsidRPr="00255291" w14:paraId="557802EE" w14:textId="77777777" w:rsidTr="009A1BE7">
        <w:tc>
          <w:tcPr>
            <w:tcW w:w="2028" w:type="dxa"/>
          </w:tcPr>
          <w:p w14:paraId="366644E1" w14:textId="44387D03" w:rsidR="00CD2DDB" w:rsidRPr="009A1BE7" w:rsidRDefault="00CD2DDB" w:rsidP="00FD7872">
            <w:pPr>
              <w:rPr>
                <w:sz w:val="20"/>
              </w:rPr>
            </w:pPr>
            <w:r w:rsidRPr="009A1BE7">
              <w:rPr>
                <w:sz w:val="20"/>
              </w:rPr>
              <w:t>Counting methodology</w:t>
            </w:r>
          </w:p>
        </w:tc>
        <w:tc>
          <w:tcPr>
            <w:tcW w:w="7447" w:type="dxa"/>
          </w:tcPr>
          <w:p w14:paraId="0C6D3ADE" w14:textId="3D84E034" w:rsidR="00CD2DDB" w:rsidRPr="009A1BE7" w:rsidRDefault="00CD2DDB" w:rsidP="00CD2DDB">
            <w:pPr>
              <w:rPr>
                <w:sz w:val="20"/>
              </w:rPr>
            </w:pPr>
            <w:r w:rsidRPr="009A1BE7">
              <w:rPr>
                <w:sz w:val="20"/>
                <w:lang w:val="en-IE"/>
              </w:rPr>
              <w:t>This should be reported for each new infrastructure, regardless of whether it contributes to protecting the same population as another supported infrastructure</w:t>
            </w:r>
            <w:r w:rsidRPr="009A1BE7">
              <w:rPr>
                <w:sz w:val="20"/>
              </w:rPr>
              <w:t>, s</w:t>
            </w:r>
            <w:r w:rsidRPr="009A1BE7">
              <w:rPr>
                <w:sz w:val="20"/>
                <w:lang w:val="en-IE"/>
              </w:rPr>
              <w:t>ince the same population can be subjected to multiple risks.</w:t>
            </w:r>
          </w:p>
        </w:tc>
      </w:tr>
      <w:tr w:rsidR="00FB64C0" w:rsidRPr="00255291" w14:paraId="0C49EB31" w14:textId="77777777" w:rsidTr="009A1BE7">
        <w:tc>
          <w:tcPr>
            <w:tcW w:w="2028" w:type="dxa"/>
          </w:tcPr>
          <w:p w14:paraId="6627743B" w14:textId="77777777" w:rsidR="00FB64C0" w:rsidRPr="009A1BE7" w:rsidRDefault="00FB64C0" w:rsidP="00FD7872">
            <w:pPr>
              <w:rPr>
                <w:sz w:val="20"/>
              </w:rPr>
            </w:pPr>
            <w:r w:rsidRPr="009A1BE7">
              <w:rPr>
                <w:sz w:val="20"/>
              </w:rPr>
              <w:t>Disaggregation</w:t>
            </w:r>
          </w:p>
        </w:tc>
        <w:tc>
          <w:tcPr>
            <w:tcW w:w="7447" w:type="dxa"/>
          </w:tcPr>
          <w:p w14:paraId="12A2D81F" w14:textId="31D9411C" w:rsidR="00FB64C0" w:rsidRPr="009A1BE7" w:rsidRDefault="00CD2DDB" w:rsidP="00FD7872">
            <w:pPr>
              <w:rPr>
                <w:sz w:val="20"/>
                <w:lang w:val="en-IE"/>
              </w:rPr>
            </w:pPr>
            <w:r w:rsidRPr="009A1BE7">
              <w:rPr>
                <w:sz w:val="20"/>
                <w:lang w:val="en-IE"/>
              </w:rPr>
              <w:t>None</w:t>
            </w:r>
          </w:p>
        </w:tc>
      </w:tr>
      <w:tr w:rsidR="00FB64C0" w:rsidRPr="00255291" w14:paraId="32B38EDF" w14:textId="77777777" w:rsidTr="009A1BE7">
        <w:tc>
          <w:tcPr>
            <w:tcW w:w="2028" w:type="dxa"/>
          </w:tcPr>
          <w:p w14:paraId="0AD066AF" w14:textId="77777777" w:rsidR="00FB64C0" w:rsidRPr="009A1BE7" w:rsidRDefault="00FB64C0" w:rsidP="00FD7872">
            <w:pPr>
              <w:rPr>
                <w:sz w:val="20"/>
              </w:rPr>
            </w:pPr>
            <w:r w:rsidRPr="009A1BE7">
              <w:rPr>
                <w:sz w:val="20"/>
              </w:rPr>
              <w:t>References</w:t>
            </w:r>
          </w:p>
        </w:tc>
        <w:tc>
          <w:tcPr>
            <w:tcW w:w="7447" w:type="dxa"/>
          </w:tcPr>
          <w:p w14:paraId="77FFFDAB" w14:textId="0D0E2D5D" w:rsidR="00FB64C0" w:rsidRPr="009A1BE7" w:rsidRDefault="00DE5482" w:rsidP="00FD7872">
            <w:pPr>
              <w:rPr>
                <w:sz w:val="20"/>
                <w:lang w:val="en-IE"/>
              </w:rPr>
            </w:pPr>
            <w:r w:rsidRPr="009A1BE7">
              <w:rPr>
                <w:sz w:val="20"/>
                <w:lang w:val="en-IE"/>
              </w:rPr>
              <w:t>At risk areas and populations are defined in the Climate Adaptation Strategy</w:t>
            </w:r>
            <w:r w:rsidRPr="009A1BE7">
              <w:rPr>
                <w:rStyle w:val="FootnoteReference"/>
                <w:sz w:val="20"/>
                <w:lang w:val="en-IE"/>
              </w:rPr>
              <w:footnoteReference w:id="2"/>
            </w:r>
          </w:p>
        </w:tc>
      </w:tr>
      <w:tr w:rsidR="00FB64C0" w:rsidRPr="00255291" w14:paraId="0405394B" w14:textId="77777777" w:rsidTr="009A1BE7">
        <w:tc>
          <w:tcPr>
            <w:tcW w:w="2028" w:type="dxa"/>
          </w:tcPr>
          <w:p w14:paraId="2D7CBD55" w14:textId="77777777" w:rsidR="00FB64C0" w:rsidRPr="009A1BE7" w:rsidRDefault="00FB64C0" w:rsidP="00FD7872">
            <w:pPr>
              <w:rPr>
                <w:sz w:val="20"/>
              </w:rPr>
            </w:pPr>
            <w:r w:rsidRPr="009A1BE7">
              <w:rPr>
                <w:sz w:val="20"/>
              </w:rPr>
              <w:t>Corresponding Structural Funds indicator(s)</w:t>
            </w:r>
          </w:p>
        </w:tc>
        <w:tc>
          <w:tcPr>
            <w:tcW w:w="7447" w:type="dxa"/>
          </w:tcPr>
          <w:p w14:paraId="257821D3" w14:textId="77777777" w:rsidR="00FB64C0" w:rsidRPr="009A1BE7" w:rsidRDefault="00FB64C0" w:rsidP="00FD7872">
            <w:pPr>
              <w:rPr>
                <w:noProof/>
                <w:color w:val="000000"/>
                <w:sz w:val="20"/>
                <w:lang w:val="en-IE" w:eastAsia="en-IE"/>
              </w:rPr>
            </w:pPr>
            <w:r w:rsidRPr="009A1BE7">
              <w:rPr>
                <w:noProof/>
                <w:color w:val="000000"/>
                <w:sz w:val="20"/>
                <w:lang w:val="en-IE" w:eastAsia="en-IE"/>
              </w:rPr>
              <w:t>RCR35 Population benefiting from flood protection measures</w:t>
            </w:r>
          </w:p>
          <w:p w14:paraId="0CB65B1F" w14:textId="77777777" w:rsidR="00FB64C0" w:rsidRPr="009A1BE7" w:rsidRDefault="00FB64C0" w:rsidP="00FD7872">
            <w:pPr>
              <w:rPr>
                <w:noProof/>
                <w:color w:val="000000"/>
                <w:sz w:val="20"/>
                <w:lang w:val="en-IE" w:eastAsia="en-IE"/>
              </w:rPr>
            </w:pPr>
            <w:r w:rsidRPr="009A1BE7">
              <w:rPr>
                <w:noProof/>
                <w:color w:val="000000"/>
                <w:sz w:val="20"/>
                <w:lang w:val="en-IE" w:eastAsia="en-IE"/>
              </w:rPr>
              <w:t>RCR36 Population benefiting from wildfire protection measures</w:t>
            </w:r>
          </w:p>
          <w:p w14:paraId="4AD261F8" w14:textId="77777777" w:rsidR="00FB64C0" w:rsidRPr="009A1BE7" w:rsidRDefault="00FB64C0" w:rsidP="00FD7872">
            <w:pPr>
              <w:rPr>
                <w:sz w:val="20"/>
                <w:lang w:val="en-IE"/>
              </w:rPr>
            </w:pPr>
            <w:r w:rsidRPr="009A1BE7">
              <w:rPr>
                <w:noProof/>
                <w:color w:val="000000"/>
                <w:sz w:val="20"/>
                <w:lang w:val="en-IE" w:eastAsia="en-IE"/>
              </w:rPr>
              <w:t>RCR37 Population benefiting from protection measures against climate related natural disaster (other than flood and wildfires)</w:t>
            </w:r>
          </w:p>
        </w:tc>
      </w:tr>
    </w:tbl>
    <w:p w14:paraId="5773AFB0" w14:textId="793684CA" w:rsidR="001550EF" w:rsidRDefault="001550EF" w:rsidP="00FB64C0">
      <w:r>
        <w:lastRenderedPageBreak/>
        <w:br w:type="page"/>
      </w:r>
    </w:p>
    <w:p w14:paraId="3B9131DE" w14:textId="77777777" w:rsidR="006D57FD" w:rsidRPr="00255291" w:rsidRDefault="006D57FD" w:rsidP="00FB64C0"/>
    <w:p w14:paraId="0C27CAAF" w14:textId="19296ED8" w:rsidR="00FB64C0" w:rsidRDefault="00FB64C0" w:rsidP="001F5716">
      <w:pPr>
        <w:pStyle w:val="Heading2"/>
        <w:numPr>
          <w:ilvl w:val="1"/>
          <w:numId w:val="43"/>
        </w:numPr>
        <w:rPr>
          <w:rFonts w:ascii="Times New Roman" w:hAnsi="Times New Roman" w:cs="Times New Roman"/>
          <w:b/>
          <w:bCs/>
          <w:color w:val="auto"/>
        </w:rPr>
      </w:pPr>
      <w:bookmarkStart w:id="13" w:name="_Toc93393180"/>
      <w:r w:rsidRPr="00255291">
        <w:rPr>
          <w:rFonts w:ascii="Times New Roman" w:hAnsi="Times New Roman" w:cs="Times New Roman"/>
          <w:b/>
          <w:bCs/>
          <w:color w:val="auto"/>
        </w:rPr>
        <w:t>Additional dwellings with internet access provided via very high capacity networks</w:t>
      </w:r>
      <w:bookmarkEnd w:id="13"/>
    </w:p>
    <w:p w14:paraId="552F23D0" w14:textId="77777777" w:rsidR="001F5716" w:rsidRPr="001F5716" w:rsidRDefault="001F5716" w:rsidP="001F5716"/>
    <w:tbl>
      <w:tblPr>
        <w:tblStyle w:val="TableGrid"/>
        <w:tblW w:w="9475" w:type="dxa"/>
        <w:tblLook w:val="04A0" w:firstRow="1" w:lastRow="0" w:firstColumn="1" w:lastColumn="0" w:noHBand="0" w:noVBand="1"/>
      </w:tblPr>
      <w:tblGrid>
        <w:gridCol w:w="2028"/>
        <w:gridCol w:w="7447"/>
      </w:tblGrid>
      <w:tr w:rsidR="00FB64C0" w:rsidRPr="00255291" w14:paraId="6A9BEDE2" w14:textId="77777777" w:rsidTr="009A1BE7">
        <w:tc>
          <w:tcPr>
            <w:tcW w:w="2028" w:type="dxa"/>
          </w:tcPr>
          <w:p w14:paraId="6D974395" w14:textId="77777777" w:rsidR="00FB64C0" w:rsidRPr="009A1BE7" w:rsidRDefault="00FB64C0" w:rsidP="00FD7872">
            <w:pPr>
              <w:rPr>
                <w:sz w:val="20"/>
              </w:rPr>
            </w:pPr>
            <w:r w:rsidRPr="009A1BE7">
              <w:rPr>
                <w:sz w:val="20"/>
              </w:rPr>
              <w:t>Indicator code</w:t>
            </w:r>
          </w:p>
        </w:tc>
        <w:tc>
          <w:tcPr>
            <w:tcW w:w="7447" w:type="dxa"/>
          </w:tcPr>
          <w:p w14:paraId="5F08AB2E" w14:textId="77777777" w:rsidR="00FB64C0" w:rsidRPr="009A1BE7" w:rsidRDefault="00FB64C0" w:rsidP="00FD7872">
            <w:pPr>
              <w:rPr>
                <w:sz w:val="20"/>
              </w:rPr>
            </w:pPr>
            <w:r w:rsidRPr="009A1BE7">
              <w:rPr>
                <w:sz w:val="20"/>
              </w:rPr>
              <w:t>RRFCI05</w:t>
            </w:r>
          </w:p>
        </w:tc>
      </w:tr>
      <w:tr w:rsidR="00FB64C0" w:rsidRPr="00255291" w14:paraId="368203A2" w14:textId="77777777" w:rsidTr="009A1BE7">
        <w:tc>
          <w:tcPr>
            <w:tcW w:w="2028" w:type="dxa"/>
            <w:shd w:val="clear" w:color="auto" w:fill="auto"/>
          </w:tcPr>
          <w:p w14:paraId="7B01DFB3" w14:textId="77777777" w:rsidR="00FB64C0" w:rsidRPr="009A1BE7" w:rsidRDefault="00FB64C0" w:rsidP="00FD7872">
            <w:pPr>
              <w:rPr>
                <w:sz w:val="20"/>
              </w:rPr>
            </w:pPr>
            <w:r w:rsidRPr="009A1BE7">
              <w:rPr>
                <w:sz w:val="20"/>
              </w:rPr>
              <w:t>Indicator name</w:t>
            </w:r>
          </w:p>
        </w:tc>
        <w:tc>
          <w:tcPr>
            <w:tcW w:w="7447" w:type="dxa"/>
            <w:shd w:val="clear" w:color="auto" w:fill="auto"/>
          </w:tcPr>
          <w:p w14:paraId="11EFC5C0" w14:textId="77777777" w:rsidR="00FB64C0" w:rsidRPr="009A1BE7" w:rsidRDefault="00FB64C0" w:rsidP="00FD7872">
            <w:pPr>
              <w:rPr>
                <w:sz w:val="20"/>
              </w:rPr>
            </w:pPr>
            <w:r w:rsidRPr="009A1BE7">
              <w:rPr>
                <w:sz w:val="20"/>
              </w:rPr>
              <w:t>Additional dwellings with internet access provided via very high capacity networks</w:t>
            </w:r>
          </w:p>
        </w:tc>
      </w:tr>
      <w:tr w:rsidR="00FB64C0" w:rsidRPr="00255291" w14:paraId="02472CE5" w14:textId="77777777" w:rsidTr="009A1BE7">
        <w:tc>
          <w:tcPr>
            <w:tcW w:w="2028" w:type="dxa"/>
            <w:shd w:val="clear" w:color="auto" w:fill="auto"/>
          </w:tcPr>
          <w:p w14:paraId="34D23020" w14:textId="77777777" w:rsidR="00FB64C0" w:rsidRPr="009A1BE7" w:rsidRDefault="00FB64C0" w:rsidP="00FD7872">
            <w:pPr>
              <w:rPr>
                <w:sz w:val="20"/>
              </w:rPr>
            </w:pPr>
            <w:r w:rsidRPr="009A1BE7">
              <w:rPr>
                <w:sz w:val="20"/>
              </w:rPr>
              <w:t>Measurement unit</w:t>
            </w:r>
          </w:p>
        </w:tc>
        <w:tc>
          <w:tcPr>
            <w:tcW w:w="7447" w:type="dxa"/>
            <w:shd w:val="clear" w:color="auto" w:fill="auto"/>
          </w:tcPr>
          <w:p w14:paraId="7E8D0008" w14:textId="77777777" w:rsidR="00FB64C0" w:rsidRPr="009A1BE7" w:rsidRDefault="00FB64C0" w:rsidP="00FD7872">
            <w:pPr>
              <w:rPr>
                <w:sz w:val="20"/>
              </w:rPr>
            </w:pPr>
            <w:r w:rsidRPr="009A1BE7">
              <w:rPr>
                <w:sz w:val="20"/>
              </w:rPr>
              <w:t xml:space="preserve">Dwellings </w:t>
            </w:r>
          </w:p>
        </w:tc>
      </w:tr>
      <w:tr w:rsidR="00D0748F" w:rsidRPr="00255291" w14:paraId="7F957A52" w14:textId="77777777" w:rsidTr="009A1BE7">
        <w:tc>
          <w:tcPr>
            <w:tcW w:w="2028" w:type="dxa"/>
            <w:shd w:val="clear" w:color="auto" w:fill="auto"/>
          </w:tcPr>
          <w:p w14:paraId="514401C4" w14:textId="22BB610E" w:rsidR="00D0748F" w:rsidRPr="009A1BE7" w:rsidRDefault="00D0748F" w:rsidP="00FD7872">
            <w:pPr>
              <w:rPr>
                <w:sz w:val="20"/>
              </w:rPr>
            </w:pPr>
            <w:r w:rsidRPr="009A1BE7">
              <w:rPr>
                <w:sz w:val="20"/>
              </w:rPr>
              <w:t>Type of indicator</w:t>
            </w:r>
          </w:p>
        </w:tc>
        <w:tc>
          <w:tcPr>
            <w:tcW w:w="7447" w:type="dxa"/>
            <w:shd w:val="clear" w:color="auto" w:fill="auto"/>
          </w:tcPr>
          <w:p w14:paraId="39049358" w14:textId="6D376EE7" w:rsidR="00D0748F" w:rsidRPr="009A1BE7" w:rsidRDefault="00D0748F" w:rsidP="00FD7872">
            <w:pPr>
              <w:rPr>
                <w:sz w:val="20"/>
              </w:rPr>
            </w:pPr>
            <w:r w:rsidRPr="009A1BE7">
              <w:rPr>
                <w:sz w:val="20"/>
              </w:rPr>
              <w:t>Stock</w:t>
            </w:r>
          </w:p>
        </w:tc>
      </w:tr>
      <w:tr w:rsidR="00597BFE" w:rsidRPr="00255291" w14:paraId="10D4D11A" w14:textId="77777777" w:rsidTr="009A1BE7">
        <w:tc>
          <w:tcPr>
            <w:tcW w:w="2028" w:type="dxa"/>
            <w:shd w:val="clear" w:color="auto" w:fill="auto"/>
          </w:tcPr>
          <w:p w14:paraId="7F91F593" w14:textId="77777777" w:rsidR="00597BFE" w:rsidRPr="009A1BE7" w:rsidRDefault="00597BFE" w:rsidP="00FD7872">
            <w:pPr>
              <w:rPr>
                <w:sz w:val="20"/>
              </w:rPr>
            </w:pPr>
            <w:r w:rsidRPr="009A1BE7">
              <w:rPr>
                <w:sz w:val="20"/>
              </w:rPr>
              <w:t>Baseline</w:t>
            </w:r>
          </w:p>
        </w:tc>
        <w:tc>
          <w:tcPr>
            <w:tcW w:w="7447" w:type="dxa"/>
            <w:shd w:val="clear" w:color="auto" w:fill="auto"/>
          </w:tcPr>
          <w:p w14:paraId="5FD53165" w14:textId="3A583B72" w:rsidR="00BC3915" w:rsidRPr="009A1BE7" w:rsidRDefault="006D57FD">
            <w:pPr>
              <w:rPr>
                <w:sz w:val="20"/>
              </w:rPr>
            </w:pPr>
            <w:r w:rsidRPr="009A1BE7">
              <w:rPr>
                <w:sz w:val="20"/>
              </w:rPr>
              <w:t>I</w:t>
            </w:r>
            <w:r w:rsidR="00E310F1" w:rsidRPr="009A1BE7">
              <w:rPr>
                <w:sz w:val="20"/>
              </w:rPr>
              <w:t>nitially 0, subsequently adjusted to the achieved value of the previous reporting round</w:t>
            </w:r>
          </w:p>
        </w:tc>
      </w:tr>
      <w:tr w:rsidR="00FB64C0" w:rsidRPr="00255291" w14:paraId="4D9786FF" w14:textId="77777777" w:rsidTr="009A1BE7">
        <w:tc>
          <w:tcPr>
            <w:tcW w:w="2028" w:type="dxa"/>
            <w:shd w:val="clear" w:color="auto" w:fill="auto"/>
          </w:tcPr>
          <w:p w14:paraId="4F668B04" w14:textId="77777777" w:rsidR="00FB64C0" w:rsidRPr="009A1BE7" w:rsidRDefault="00FB64C0" w:rsidP="00FD7872">
            <w:pPr>
              <w:rPr>
                <w:sz w:val="20"/>
              </w:rPr>
            </w:pPr>
            <w:r w:rsidRPr="009A1BE7">
              <w:rPr>
                <w:sz w:val="20"/>
              </w:rPr>
              <w:t>RRF Pillars</w:t>
            </w:r>
          </w:p>
        </w:tc>
        <w:tc>
          <w:tcPr>
            <w:tcW w:w="7447" w:type="dxa"/>
            <w:shd w:val="clear" w:color="auto" w:fill="auto"/>
          </w:tcPr>
          <w:p w14:paraId="2BEFF79D" w14:textId="77777777" w:rsidR="00FB64C0" w:rsidRPr="009A1BE7" w:rsidRDefault="00FB64C0" w:rsidP="00FD7872">
            <w:pPr>
              <w:rPr>
                <w:sz w:val="20"/>
              </w:rPr>
            </w:pPr>
            <w:r w:rsidRPr="009A1BE7">
              <w:rPr>
                <w:sz w:val="20"/>
              </w:rPr>
              <w:t>Pillar 2 Digital transformation</w:t>
            </w:r>
          </w:p>
          <w:p w14:paraId="2FFB0FBD" w14:textId="77777777" w:rsidR="00FB64C0" w:rsidRPr="009A1BE7" w:rsidRDefault="00FB64C0" w:rsidP="00FD7872">
            <w:pPr>
              <w:rPr>
                <w:sz w:val="20"/>
              </w:rPr>
            </w:pPr>
            <w:r w:rsidRPr="009A1BE7">
              <w:rPr>
                <w:sz w:val="20"/>
              </w:rPr>
              <w:t>Pillar 4 Social and territorial cohesion</w:t>
            </w:r>
          </w:p>
        </w:tc>
      </w:tr>
      <w:tr w:rsidR="00FB64C0" w:rsidRPr="00255291" w14:paraId="7A3D2818" w14:textId="77777777" w:rsidTr="009A1BE7">
        <w:tc>
          <w:tcPr>
            <w:tcW w:w="2028" w:type="dxa"/>
            <w:shd w:val="clear" w:color="auto" w:fill="auto"/>
          </w:tcPr>
          <w:p w14:paraId="4922CD76" w14:textId="77777777" w:rsidR="00FB64C0" w:rsidRPr="009A1BE7" w:rsidRDefault="00FB64C0" w:rsidP="00FD7872">
            <w:pPr>
              <w:rPr>
                <w:sz w:val="20"/>
              </w:rPr>
            </w:pPr>
            <w:r w:rsidRPr="009A1BE7">
              <w:rPr>
                <w:sz w:val="20"/>
              </w:rPr>
              <w:t>Definition and concepts</w:t>
            </w:r>
          </w:p>
        </w:tc>
        <w:tc>
          <w:tcPr>
            <w:tcW w:w="7447" w:type="dxa"/>
            <w:shd w:val="clear" w:color="auto" w:fill="auto"/>
          </w:tcPr>
          <w:p w14:paraId="57310620" w14:textId="77777777" w:rsidR="00FB64C0" w:rsidRPr="009A1BE7" w:rsidRDefault="00FB64C0" w:rsidP="00FD7872">
            <w:pPr>
              <w:rPr>
                <w:sz w:val="20"/>
              </w:rPr>
            </w:pPr>
            <w:r w:rsidRPr="009A1BE7">
              <w:rPr>
                <w:sz w:val="20"/>
              </w:rPr>
              <w:t>Total number of dwellings with access to very high capacity networks, as defined in the BEREC Guidelines on Very High Capacity Networks (BoR (20) 165)</w:t>
            </w:r>
            <w:r w:rsidRPr="009A1BE7" w:rsidDel="00FE37E5">
              <w:rPr>
                <w:sz w:val="20"/>
              </w:rPr>
              <w:t xml:space="preserve"> </w:t>
            </w:r>
            <w:r w:rsidRPr="009A1BE7">
              <w:rPr>
                <w:sz w:val="20"/>
              </w:rPr>
              <w:t>that only had access to slower connections or did not have internet access at all before the support by measures under the Facility. As such, it shall also consider 5G network coverage and upgrades to gigabit speed. The improved internet access must be a direct consequence of the support by measures under the Facility. The indicator shall measure dwellings with the possibility to access and not the actual take up.</w:t>
            </w:r>
            <w:r w:rsidR="00634ED3" w:rsidRPr="009A1BE7">
              <w:rPr>
                <w:sz w:val="20"/>
              </w:rPr>
              <w:t xml:space="preserve"> Possibility to access means that the service is accessible </w:t>
            </w:r>
            <w:r w:rsidR="00B205C7" w:rsidRPr="009A1BE7">
              <w:rPr>
                <w:sz w:val="20"/>
              </w:rPr>
              <w:t>to</w:t>
            </w:r>
            <w:r w:rsidR="00634ED3" w:rsidRPr="009A1BE7">
              <w:rPr>
                <w:sz w:val="20"/>
              </w:rPr>
              <w:t xml:space="preserve"> the dwelling, notwithstanding whether they subscribe to it or not.</w:t>
            </w:r>
          </w:p>
          <w:p w14:paraId="32D6EC8A" w14:textId="5F3F029A" w:rsidR="00FB64C0" w:rsidRPr="009A1BE7" w:rsidRDefault="00FB64C0" w:rsidP="00161E20">
            <w:pPr>
              <w:spacing w:before="0" w:after="0"/>
              <w:rPr>
                <w:sz w:val="20"/>
                <w:lang w:val="en-IE"/>
              </w:rPr>
            </w:pPr>
            <w:r w:rsidRPr="009A1BE7">
              <w:rPr>
                <w:rFonts w:eastAsia="Times New Roman"/>
                <w:color w:val="000000"/>
                <w:sz w:val="20"/>
                <w:lang w:val="en-IE" w:eastAsia="en-IE"/>
              </w:rPr>
              <w:t>A dwelling shall be defined as "a room or a suite of rooms in a permanent building or a structurally separated part of a building which (...) is designed for habitation by one private household all year around" (see Commission (Eurostat)).</w:t>
            </w:r>
            <w:r w:rsidR="00DD300E" w:rsidRPr="009A1BE7">
              <w:rPr>
                <w:rFonts w:eastAsia="Times New Roman"/>
                <w:color w:val="000000"/>
                <w:sz w:val="20"/>
                <w:lang w:val="en-IE" w:eastAsia="en-IE"/>
              </w:rPr>
              <w:t xml:space="preserve"> This shall not be understood as counting </w:t>
            </w:r>
            <w:r w:rsidR="00B205C7" w:rsidRPr="009A1BE7">
              <w:rPr>
                <w:rFonts w:eastAsia="Times New Roman"/>
                <w:color w:val="000000"/>
                <w:sz w:val="20"/>
                <w:lang w:val="en-IE" w:eastAsia="en-IE"/>
              </w:rPr>
              <w:t xml:space="preserve">the number of </w:t>
            </w:r>
            <w:r w:rsidR="00DD300E" w:rsidRPr="009A1BE7">
              <w:rPr>
                <w:rFonts w:eastAsia="Times New Roman"/>
                <w:color w:val="000000"/>
                <w:sz w:val="20"/>
                <w:lang w:val="en-IE" w:eastAsia="en-IE"/>
              </w:rPr>
              <w:t xml:space="preserve">rooms of dwellings, but rather </w:t>
            </w:r>
            <w:r w:rsidR="00B205C7" w:rsidRPr="009A1BE7">
              <w:rPr>
                <w:rFonts w:eastAsia="Times New Roman"/>
                <w:color w:val="000000"/>
                <w:sz w:val="20"/>
                <w:lang w:val="en-IE" w:eastAsia="en-IE"/>
              </w:rPr>
              <w:t xml:space="preserve">that each </w:t>
            </w:r>
            <w:r w:rsidR="00DD300E" w:rsidRPr="009A1BE7">
              <w:rPr>
                <w:rFonts w:eastAsia="Times New Roman"/>
                <w:color w:val="000000"/>
                <w:sz w:val="20"/>
                <w:lang w:val="en-IE" w:eastAsia="en-IE"/>
              </w:rPr>
              <w:t xml:space="preserve"> dwelling</w:t>
            </w:r>
            <w:r w:rsidR="00B205C7" w:rsidRPr="009A1BE7">
              <w:rPr>
                <w:rFonts w:eastAsia="Times New Roman"/>
                <w:color w:val="000000"/>
                <w:sz w:val="20"/>
                <w:lang w:val="en-IE" w:eastAsia="en-IE"/>
              </w:rPr>
              <w:t xml:space="preserve"> is an </w:t>
            </w:r>
            <w:r w:rsidR="00DD300E" w:rsidRPr="009A1BE7">
              <w:rPr>
                <w:rFonts w:eastAsia="Times New Roman"/>
                <w:color w:val="000000"/>
                <w:sz w:val="20"/>
                <w:lang w:val="en-IE" w:eastAsia="en-IE"/>
              </w:rPr>
              <w:t>entit</w:t>
            </w:r>
            <w:r w:rsidR="00B205C7" w:rsidRPr="009A1BE7">
              <w:rPr>
                <w:rFonts w:eastAsia="Times New Roman"/>
                <w:color w:val="000000"/>
                <w:sz w:val="20"/>
                <w:lang w:val="en-IE" w:eastAsia="en-IE"/>
              </w:rPr>
              <w:t>y</w:t>
            </w:r>
            <w:r w:rsidR="00DD300E" w:rsidRPr="009A1BE7">
              <w:rPr>
                <w:rFonts w:eastAsia="Times New Roman"/>
                <w:color w:val="000000"/>
                <w:sz w:val="20"/>
                <w:lang w:val="en-IE" w:eastAsia="en-IE"/>
              </w:rPr>
              <w:t xml:space="preserve"> </w:t>
            </w:r>
            <w:r w:rsidR="00161E20" w:rsidRPr="009A1BE7">
              <w:rPr>
                <w:rFonts w:eastAsia="Times New Roman"/>
                <w:color w:val="000000"/>
                <w:sz w:val="20"/>
                <w:lang w:val="en-IE" w:eastAsia="en-IE"/>
              </w:rPr>
              <w:t xml:space="preserve">that can contain </w:t>
            </w:r>
            <w:r w:rsidR="00DD300E" w:rsidRPr="009A1BE7">
              <w:rPr>
                <w:rFonts w:eastAsia="Times New Roman"/>
                <w:color w:val="000000"/>
                <w:sz w:val="20"/>
                <w:lang w:val="en-IE" w:eastAsia="en-IE"/>
              </w:rPr>
              <w:t>a household, irrespective of the number of rooms</w:t>
            </w:r>
            <w:r w:rsidR="00B205C7" w:rsidRPr="009A1BE7">
              <w:rPr>
                <w:rFonts w:eastAsia="Times New Roman"/>
                <w:color w:val="000000"/>
                <w:sz w:val="20"/>
                <w:lang w:val="en-IE" w:eastAsia="en-IE"/>
              </w:rPr>
              <w:t>. A</w:t>
            </w:r>
            <w:r w:rsidR="00DD300E" w:rsidRPr="009A1BE7">
              <w:rPr>
                <w:rFonts w:eastAsia="Times New Roman"/>
                <w:color w:val="000000"/>
                <w:sz w:val="20"/>
                <w:lang w:val="en-IE" w:eastAsia="en-IE"/>
              </w:rPr>
              <w:t xml:space="preserve">ll private dwellings from studio flats to mansions are covered. </w:t>
            </w:r>
          </w:p>
        </w:tc>
      </w:tr>
      <w:tr w:rsidR="00FB64C0" w:rsidRPr="00255291" w14:paraId="7DD64BC6" w14:textId="77777777" w:rsidTr="009A1BE7">
        <w:tc>
          <w:tcPr>
            <w:tcW w:w="2028" w:type="dxa"/>
          </w:tcPr>
          <w:p w14:paraId="1738293E" w14:textId="77777777" w:rsidR="00FB64C0" w:rsidRPr="009A1BE7" w:rsidRDefault="00FB64C0" w:rsidP="00FD7872">
            <w:pPr>
              <w:rPr>
                <w:sz w:val="20"/>
              </w:rPr>
            </w:pPr>
            <w:r w:rsidRPr="009A1BE7">
              <w:rPr>
                <w:sz w:val="20"/>
              </w:rPr>
              <w:t>Time measurement</w:t>
            </w:r>
          </w:p>
        </w:tc>
        <w:tc>
          <w:tcPr>
            <w:tcW w:w="7447" w:type="dxa"/>
          </w:tcPr>
          <w:p w14:paraId="6092E133" w14:textId="77777777" w:rsidR="00FB64C0" w:rsidRPr="009A1BE7" w:rsidRDefault="00BC62F3">
            <w:pPr>
              <w:rPr>
                <w:sz w:val="20"/>
                <w:lang w:val="en-IE"/>
              </w:rPr>
            </w:pPr>
            <w:r w:rsidRPr="009A1BE7">
              <w:rPr>
                <w:sz w:val="20"/>
              </w:rPr>
              <w:t>Dwellings shall be counted upon the date they get access to a very high capacity network supported by the measures under the Facility</w:t>
            </w:r>
            <w:r w:rsidR="0094059C" w:rsidRPr="009A1BE7">
              <w:rPr>
                <w:sz w:val="20"/>
              </w:rPr>
              <w:t xml:space="preserve"> </w:t>
            </w:r>
            <w:r w:rsidR="0094059C" w:rsidRPr="009A1BE7">
              <w:rPr>
                <w:sz w:val="20"/>
                <w:lang w:val="en-IE"/>
              </w:rPr>
              <w:t>(as defined in the general principles)</w:t>
            </w:r>
            <w:r w:rsidRPr="009A1BE7">
              <w:rPr>
                <w:sz w:val="20"/>
              </w:rPr>
              <w:t>.</w:t>
            </w:r>
          </w:p>
        </w:tc>
      </w:tr>
      <w:tr w:rsidR="006D57FD" w:rsidRPr="00255291" w14:paraId="0C8DE26D" w14:textId="77777777" w:rsidTr="009A1BE7">
        <w:tc>
          <w:tcPr>
            <w:tcW w:w="2028" w:type="dxa"/>
          </w:tcPr>
          <w:p w14:paraId="23F5BC50" w14:textId="00B2A6EF" w:rsidR="006D57FD" w:rsidRPr="009A1BE7" w:rsidRDefault="006D57FD" w:rsidP="00FD7872">
            <w:pPr>
              <w:rPr>
                <w:sz w:val="20"/>
              </w:rPr>
            </w:pPr>
            <w:r w:rsidRPr="009A1BE7">
              <w:rPr>
                <w:sz w:val="20"/>
              </w:rPr>
              <w:t>Counting methodology</w:t>
            </w:r>
          </w:p>
        </w:tc>
        <w:tc>
          <w:tcPr>
            <w:tcW w:w="7447" w:type="dxa"/>
          </w:tcPr>
          <w:p w14:paraId="25461484" w14:textId="34286ACB" w:rsidR="006D57FD" w:rsidRPr="009A1BE7" w:rsidRDefault="006D57FD">
            <w:pPr>
              <w:rPr>
                <w:sz w:val="20"/>
              </w:rPr>
            </w:pPr>
            <w:r w:rsidRPr="009A1BE7">
              <w:rPr>
                <w:sz w:val="20"/>
                <w:lang w:val="en-IE"/>
              </w:rPr>
              <w:t>The indicator does not count collective dwellings such as hospitals, old peoples' homes, residential homes, prisons, military barracks, religious institutions, boarding houses, workers' hostels etc.</w:t>
            </w:r>
          </w:p>
        </w:tc>
      </w:tr>
      <w:tr w:rsidR="00FB64C0" w:rsidRPr="00255291" w14:paraId="528350B6" w14:textId="77777777" w:rsidTr="009A1BE7">
        <w:tc>
          <w:tcPr>
            <w:tcW w:w="2028" w:type="dxa"/>
          </w:tcPr>
          <w:p w14:paraId="2125DA80" w14:textId="77777777" w:rsidR="00FB64C0" w:rsidRPr="009A1BE7" w:rsidRDefault="00FB64C0" w:rsidP="00FD7872">
            <w:pPr>
              <w:rPr>
                <w:sz w:val="20"/>
              </w:rPr>
            </w:pPr>
            <w:r w:rsidRPr="009A1BE7">
              <w:rPr>
                <w:sz w:val="20"/>
              </w:rPr>
              <w:t xml:space="preserve">Disaggregation </w:t>
            </w:r>
          </w:p>
        </w:tc>
        <w:tc>
          <w:tcPr>
            <w:tcW w:w="7447" w:type="dxa"/>
          </w:tcPr>
          <w:p w14:paraId="443C25CF" w14:textId="77777777" w:rsidR="00FB64C0" w:rsidRPr="009A1BE7" w:rsidRDefault="00FB64C0" w:rsidP="00FD7872">
            <w:pPr>
              <w:rPr>
                <w:sz w:val="20"/>
                <w:lang w:val="en-IE"/>
              </w:rPr>
            </w:pPr>
            <w:r w:rsidRPr="009A1BE7">
              <w:rPr>
                <w:sz w:val="20"/>
                <w:lang w:val="en-IE"/>
              </w:rPr>
              <w:t>None.</w:t>
            </w:r>
          </w:p>
        </w:tc>
      </w:tr>
      <w:tr w:rsidR="00FB64C0" w:rsidRPr="00255291" w14:paraId="04A43F30" w14:textId="77777777" w:rsidTr="009A1BE7">
        <w:tc>
          <w:tcPr>
            <w:tcW w:w="2028" w:type="dxa"/>
          </w:tcPr>
          <w:p w14:paraId="12BC4025" w14:textId="77777777" w:rsidR="00FB64C0" w:rsidRPr="009A1BE7" w:rsidRDefault="00FB64C0" w:rsidP="00FD7872">
            <w:pPr>
              <w:rPr>
                <w:sz w:val="20"/>
              </w:rPr>
            </w:pPr>
            <w:r w:rsidRPr="009A1BE7">
              <w:rPr>
                <w:sz w:val="20"/>
              </w:rPr>
              <w:t xml:space="preserve">References </w:t>
            </w:r>
          </w:p>
        </w:tc>
        <w:tc>
          <w:tcPr>
            <w:tcW w:w="7447" w:type="dxa"/>
          </w:tcPr>
          <w:p w14:paraId="5AF57FBD" w14:textId="77777777" w:rsidR="00FB64C0" w:rsidRPr="009A1BE7" w:rsidRDefault="00FB64C0" w:rsidP="00FD7872">
            <w:pPr>
              <w:rPr>
                <w:sz w:val="20"/>
              </w:rPr>
            </w:pPr>
            <w:r w:rsidRPr="009A1BE7">
              <w:rPr>
                <w:sz w:val="20"/>
                <w:lang w:val="en-IE"/>
              </w:rPr>
              <w:t xml:space="preserve">BEREC Guidelines on Very High Capacity Networks (BoR (20) 165, adopted on 1.10.2020): </w:t>
            </w:r>
            <w:r w:rsidRPr="009A1BE7">
              <w:rPr>
                <w:sz w:val="20"/>
              </w:rPr>
              <w:t>Article 2(2) of the European Electronic Communications Code (EECC) currently defines the term ‘very high capacity network’ as follows: “Very high capacity network’ means either an electronic communications network which consists wholly of optical fibre elements at least up to the distribution point at the serving location, or an electronic communications network which is capable of delivering, under usual peak-time conditions, similar network performance in terms of available downlink and uplink bandwidth, resilience, error-related parameters, and latency and its variation”.</w:t>
            </w:r>
          </w:p>
          <w:p w14:paraId="17326DA0" w14:textId="77777777" w:rsidR="00FB64C0" w:rsidRPr="009A1BE7" w:rsidRDefault="00FB64C0" w:rsidP="00FD7872">
            <w:pPr>
              <w:rPr>
                <w:sz w:val="20"/>
                <w:lang w:val="en-IE"/>
              </w:rPr>
            </w:pPr>
            <w:r w:rsidRPr="009A1BE7">
              <w:rPr>
                <w:sz w:val="20"/>
              </w:rPr>
              <w:t xml:space="preserve">Eurostat definition of Dwelling: </w:t>
            </w:r>
            <w:hyperlink r:id="rId12" w:history="1">
              <w:r w:rsidRPr="009A1BE7">
                <w:rPr>
                  <w:rStyle w:val="Hyperlink"/>
                  <w:sz w:val="20"/>
                  <w:lang w:val="en-IE"/>
                </w:rPr>
                <w:t>https://ec.europa.eu/eurostat/statistics-explained/index.php?title=Glossary:Dwelling</w:t>
              </w:r>
            </w:hyperlink>
            <w:r w:rsidRPr="009A1BE7">
              <w:rPr>
                <w:sz w:val="20"/>
                <w:lang w:val="en-IE"/>
              </w:rPr>
              <w:t xml:space="preserve"> </w:t>
            </w:r>
          </w:p>
        </w:tc>
      </w:tr>
      <w:tr w:rsidR="00FB64C0" w:rsidRPr="00255291" w14:paraId="66F5E888" w14:textId="77777777" w:rsidTr="009A1BE7">
        <w:tc>
          <w:tcPr>
            <w:tcW w:w="2028" w:type="dxa"/>
          </w:tcPr>
          <w:p w14:paraId="2C18C06C" w14:textId="77777777" w:rsidR="00FB64C0" w:rsidRPr="009A1BE7" w:rsidRDefault="00FB64C0" w:rsidP="00FD7872">
            <w:pPr>
              <w:rPr>
                <w:sz w:val="20"/>
              </w:rPr>
            </w:pPr>
            <w:r w:rsidRPr="009A1BE7">
              <w:rPr>
                <w:sz w:val="20"/>
              </w:rPr>
              <w:lastRenderedPageBreak/>
              <w:t>Corresponding Structural Funds indicator(s)</w:t>
            </w:r>
          </w:p>
        </w:tc>
        <w:tc>
          <w:tcPr>
            <w:tcW w:w="7447" w:type="dxa"/>
          </w:tcPr>
          <w:p w14:paraId="4C9ABA9D" w14:textId="77777777" w:rsidR="00FB64C0" w:rsidRPr="009A1BE7" w:rsidRDefault="00FB64C0" w:rsidP="00FD7872">
            <w:pPr>
              <w:rPr>
                <w:sz w:val="20"/>
                <w:lang w:val="en-IE"/>
              </w:rPr>
            </w:pPr>
            <w:r w:rsidRPr="009A1BE7">
              <w:rPr>
                <w:sz w:val="20"/>
                <w:lang w:val="en-IE"/>
              </w:rPr>
              <w:t>RCO41 Additional dwellings with broadband access of very high capacity</w:t>
            </w:r>
          </w:p>
        </w:tc>
      </w:tr>
    </w:tbl>
    <w:p w14:paraId="2FB616DD" w14:textId="383F01C4" w:rsidR="00FB64C0" w:rsidRPr="00255291" w:rsidRDefault="006D57FD" w:rsidP="00FB64C0">
      <w:r w:rsidRPr="00255291">
        <w:br w:type="page"/>
      </w:r>
    </w:p>
    <w:p w14:paraId="646A89D6" w14:textId="0F1FE58D" w:rsidR="00FB64C0" w:rsidRDefault="00FB64C0" w:rsidP="001F5716">
      <w:pPr>
        <w:pStyle w:val="Heading2"/>
        <w:numPr>
          <w:ilvl w:val="1"/>
          <w:numId w:val="43"/>
        </w:numPr>
        <w:rPr>
          <w:rFonts w:ascii="Times New Roman" w:hAnsi="Times New Roman" w:cs="Times New Roman"/>
          <w:b/>
          <w:color w:val="auto"/>
        </w:rPr>
      </w:pPr>
      <w:bookmarkStart w:id="14" w:name="_Toc93393181"/>
      <w:r w:rsidRPr="00255291">
        <w:rPr>
          <w:rFonts w:ascii="Times New Roman" w:hAnsi="Times New Roman" w:cs="Times New Roman"/>
          <w:b/>
          <w:color w:val="auto"/>
        </w:rPr>
        <w:lastRenderedPageBreak/>
        <w:t>Enterprises supported to develop or adopt digital products, services and application processes</w:t>
      </w:r>
      <w:bookmarkEnd w:id="14"/>
    </w:p>
    <w:p w14:paraId="5094DF89" w14:textId="77777777" w:rsidR="001F5716" w:rsidRPr="001F5716" w:rsidRDefault="001F5716" w:rsidP="001F5716"/>
    <w:tbl>
      <w:tblPr>
        <w:tblStyle w:val="TableGrid"/>
        <w:tblW w:w="9475" w:type="dxa"/>
        <w:tblLook w:val="04A0" w:firstRow="1" w:lastRow="0" w:firstColumn="1" w:lastColumn="0" w:noHBand="0" w:noVBand="1"/>
      </w:tblPr>
      <w:tblGrid>
        <w:gridCol w:w="2028"/>
        <w:gridCol w:w="7447"/>
      </w:tblGrid>
      <w:tr w:rsidR="00FB64C0" w:rsidRPr="00255291" w14:paraId="3DFCB597" w14:textId="77777777" w:rsidTr="009A1BE7">
        <w:tc>
          <w:tcPr>
            <w:tcW w:w="2028" w:type="dxa"/>
          </w:tcPr>
          <w:p w14:paraId="6636BDFE" w14:textId="77777777" w:rsidR="00FB64C0" w:rsidRPr="009A1BE7" w:rsidRDefault="00FB64C0" w:rsidP="00FD7872">
            <w:pPr>
              <w:rPr>
                <w:sz w:val="20"/>
              </w:rPr>
            </w:pPr>
            <w:r w:rsidRPr="009A1BE7">
              <w:rPr>
                <w:sz w:val="20"/>
              </w:rPr>
              <w:t>Indicator code</w:t>
            </w:r>
          </w:p>
        </w:tc>
        <w:tc>
          <w:tcPr>
            <w:tcW w:w="7447" w:type="dxa"/>
          </w:tcPr>
          <w:p w14:paraId="5D23B5A7" w14:textId="77777777" w:rsidR="00FB64C0" w:rsidRPr="009A1BE7" w:rsidRDefault="00FB64C0" w:rsidP="00FD7872">
            <w:pPr>
              <w:rPr>
                <w:sz w:val="20"/>
              </w:rPr>
            </w:pPr>
            <w:r w:rsidRPr="009A1BE7">
              <w:rPr>
                <w:sz w:val="20"/>
              </w:rPr>
              <w:t>RRFCI06</w:t>
            </w:r>
          </w:p>
        </w:tc>
      </w:tr>
      <w:tr w:rsidR="00FB64C0" w:rsidRPr="00255291" w14:paraId="1453E97C" w14:textId="77777777" w:rsidTr="009A1BE7">
        <w:tc>
          <w:tcPr>
            <w:tcW w:w="2028" w:type="dxa"/>
            <w:shd w:val="clear" w:color="auto" w:fill="auto"/>
          </w:tcPr>
          <w:p w14:paraId="22CF273E" w14:textId="77777777" w:rsidR="00FB64C0" w:rsidRPr="009A1BE7" w:rsidRDefault="00FB64C0" w:rsidP="00FD7872">
            <w:pPr>
              <w:rPr>
                <w:sz w:val="20"/>
              </w:rPr>
            </w:pPr>
            <w:r w:rsidRPr="009A1BE7">
              <w:rPr>
                <w:sz w:val="20"/>
              </w:rPr>
              <w:t>Indicator name</w:t>
            </w:r>
          </w:p>
        </w:tc>
        <w:tc>
          <w:tcPr>
            <w:tcW w:w="7447" w:type="dxa"/>
            <w:shd w:val="clear" w:color="auto" w:fill="auto"/>
          </w:tcPr>
          <w:p w14:paraId="002130A5" w14:textId="77777777" w:rsidR="00FB64C0" w:rsidRPr="009A1BE7" w:rsidRDefault="00FB64C0" w:rsidP="00FD7872">
            <w:pPr>
              <w:rPr>
                <w:sz w:val="20"/>
              </w:rPr>
            </w:pPr>
            <w:r w:rsidRPr="009A1BE7">
              <w:rPr>
                <w:sz w:val="20"/>
              </w:rPr>
              <w:t>Enterprises supported to develop or adopt digital products, services and application processes</w:t>
            </w:r>
          </w:p>
        </w:tc>
      </w:tr>
      <w:tr w:rsidR="00FB64C0" w:rsidRPr="00255291" w14:paraId="5922C6A1" w14:textId="77777777" w:rsidTr="009A1BE7">
        <w:tc>
          <w:tcPr>
            <w:tcW w:w="2028" w:type="dxa"/>
            <w:shd w:val="clear" w:color="auto" w:fill="auto"/>
          </w:tcPr>
          <w:p w14:paraId="7230EEB8" w14:textId="77777777" w:rsidR="00FB64C0" w:rsidRPr="009A1BE7" w:rsidRDefault="00FB64C0" w:rsidP="00FD7872">
            <w:pPr>
              <w:rPr>
                <w:sz w:val="20"/>
              </w:rPr>
            </w:pPr>
            <w:r w:rsidRPr="009A1BE7">
              <w:rPr>
                <w:sz w:val="20"/>
              </w:rPr>
              <w:t>Measurement unit</w:t>
            </w:r>
          </w:p>
        </w:tc>
        <w:tc>
          <w:tcPr>
            <w:tcW w:w="7447" w:type="dxa"/>
            <w:shd w:val="clear" w:color="auto" w:fill="auto"/>
          </w:tcPr>
          <w:p w14:paraId="5A430BA6" w14:textId="77777777" w:rsidR="00FB64C0" w:rsidRPr="009A1BE7" w:rsidRDefault="00FB64C0" w:rsidP="00FD7872">
            <w:pPr>
              <w:rPr>
                <w:sz w:val="20"/>
              </w:rPr>
            </w:pPr>
            <w:r w:rsidRPr="009A1BE7">
              <w:rPr>
                <w:sz w:val="20"/>
              </w:rPr>
              <w:t xml:space="preserve">Enterprises </w:t>
            </w:r>
          </w:p>
        </w:tc>
      </w:tr>
      <w:tr w:rsidR="00D0748F" w:rsidRPr="00255291" w14:paraId="0E29AA3E" w14:textId="77777777" w:rsidTr="009A1BE7">
        <w:tc>
          <w:tcPr>
            <w:tcW w:w="2028" w:type="dxa"/>
            <w:shd w:val="clear" w:color="auto" w:fill="auto"/>
          </w:tcPr>
          <w:p w14:paraId="6A05B109" w14:textId="708F1F68" w:rsidR="00D0748F" w:rsidRPr="009A1BE7" w:rsidRDefault="00D0748F" w:rsidP="00FD7872">
            <w:pPr>
              <w:rPr>
                <w:sz w:val="20"/>
              </w:rPr>
            </w:pPr>
            <w:r w:rsidRPr="009A1BE7">
              <w:rPr>
                <w:sz w:val="20"/>
              </w:rPr>
              <w:t>Type of indicator</w:t>
            </w:r>
          </w:p>
        </w:tc>
        <w:tc>
          <w:tcPr>
            <w:tcW w:w="7447" w:type="dxa"/>
            <w:shd w:val="clear" w:color="auto" w:fill="auto"/>
          </w:tcPr>
          <w:p w14:paraId="77658EF1" w14:textId="543616D7" w:rsidR="00D0748F" w:rsidRPr="009A1BE7" w:rsidRDefault="00D0748F" w:rsidP="00FD7872">
            <w:pPr>
              <w:rPr>
                <w:sz w:val="20"/>
              </w:rPr>
            </w:pPr>
            <w:r w:rsidRPr="009A1BE7">
              <w:rPr>
                <w:sz w:val="20"/>
              </w:rPr>
              <w:t>Flow</w:t>
            </w:r>
          </w:p>
        </w:tc>
      </w:tr>
      <w:tr w:rsidR="00597BFE" w:rsidRPr="00255291" w14:paraId="5BA725D2" w14:textId="77777777" w:rsidTr="009A1BE7">
        <w:tc>
          <w:tcPr>
            <w:tcW w:w="2028" w:type="dxa"/>
            <w:shd w:val="clear" w:color="auto" w:fill="auto"/>
          </w:tcPr>
          <w:p w14:paraId="262AFAD6" w14:textId="77777777" w:rsidR="00597BFE" w:rsidRPr="009A1BE7" w:rsidRDefault="00597BFE" w:rsidP="00FD7872">
            <w:pPr>
              <w:rPr>
                <w:sz w:val="20"/>
              </w:rPr>
            </w:pPr>
            <w:r w:rsidRPr="009A1BE7">
              <w:rPr>
                <w:sz w:val="20"/>
              </w:rPr>
              <w:t>Baseline</w:t>
            </w:r>
          </w:p>
        </w:tc>
        <w:tc>
          <w:tcPr>
            <w:tcW w:w="7447" w:type="dxa"/>
            <w:shd w:val="clear" w:color="auto" w:fill="auto"/>
          </w:tcPr>
          <w:p w14:paraId="59E5B03E" w14:textId="24DF5590" w:rsidR="00E34E9D" w:rsidRPr="009A1BE7" w:rsidRDefault="004D1821" w:rsidP="006E1986">
            <w:pPr>
              <w:rPr>
                <w:sz w:val="20"/>
              </w:rPr>
            </w:pPr>
            <w:r w:rsidRPr="009A1BE7">
              <w:rPr>
                <w:sz w:val="20"/>
              </w:rPr>
              <w:t>0, reset every reporting round</w:t>
            </w:r>
          </w:p>
        </w:tc>
      </w:tr>
      <w:tr w:rsidR="00FB64C0" w:rsidRPr="00255291" w14:paraId="27715E9A" w14:textId="77777777" w:rsidTr="009A1BE7">
        <w:tc>
          <w:tcPr>
            <w:tcW w:w="2028" w:type="dxa"/>
            <w:shd w:val="clear" w:color="auto" w:fill="auto"/>
          </w:tcPr>
          <w:p w14:paraId="3662C753" w14:textId="77777777" w:rsidR="00FB64C0" w:rsidRPr="009A1BE7" w:rsidRDefault="00FB64C0" w:rsidP="00FD7872">
            <w:pPr>
              <w:rPr>
                <w:sz w:val="20"/>
              </w:rPr>
            </w:pPr>
            <w:r w:rsidRPr="009A1BE7">
              <w:rPr>
                <w:sz w:val="20"/>
              </w:rPr>
              <w:t>RRF Pillars</w:t>
            </w:r>
          </w:p>
        </w:tc>
        <w:tc>
          <w:tcPr>
            <w:tcW w:w="7447" w:type="dxa"/>
            <w:shd w:val="clear" w:color="auto" w:fill="auto"/>
          </w:tcPr>
          <w:p w14:paraId="0685936C" w14:textId="77777777" w:rsidR="00FB64C0" w:rsidRPr="009A1BE7" w:rsidRDefault="00FB64C0" w:rsidP="00FD7872">
            <w:pPr>
              <w:rPr>
                <w:sz w:val="20"/>
              </w:rPr>
            </w:pPr>
            <w:r w:rsidRPr="009A1BE7">
              <w:rPr>
                <w:sz w:val="20"/>
              </w:rPr>
              <w:t>Pillar 2 Digital transformation</w:t>
            </w:r>
          </w:p>
          <w:p w14:paraId="4D7548A9" w14:textId="77777777" w:rsidR="00FB64C0" w:rsidRPr="009A1BE7" w:rsidRDefault="00FB64C0" w:rsidP="00FD7872">
            <w:pPr>
              <w:rPr>
                <w:sz w:val="20"/>
              </w:rPr>
            </w:pPr>
            <w:r w:rsidRPr="009A1BE7">
              <w:rPr>
                <w:sz w:val="20"/>
              </w:rPr>
              <w:t>Pillar 3 Smart, sustainable and inclusive growth, including economic cohesion, jobs, productivity, competitiveness, research, development and innovation, and a well-functioning internal market with strong SMEs</w:t>
            </w:r>
          </w:p>
        </w:tc>
      </w:tr>
      <w:tr w:rsidR="00FB64C0" w:rsidRPr="00255291" w14:paraId="209698DC" w14:textId="77777777" w:rsidTr="009A1BE7">
        <w:tc>
          <w:tcPr>
            <w:tcW w:w="2028" w:type="dxa"/>
            <w:shd w:val="clear" w:color="auto" w:fill="auto"/>
          </w:tcPr>
          <w:p w14:paraId="4347004E" w14:textId="77777777" w:rsidR="00FB64C0" w:rsidRPr="009A1BE7" w:rsidRDefault="00FB64C0" w:rsidP="00FD7872">
            <w:pPr>
              <w:rPr>
                <w:sz w:val="20"/>
              </w:rPr>
            </w:pPr>
            <w:r w:rsidRPr="009A1BE7">
              <w:rPr>
                <w:sz w:val="20"/>
              </w:rPr>
              <w:t>Definition and concept</w:t>
            </w:r>
          </w:p>
        </w:tc>
        <w:tc>
          <w:tcPr>
            <w:tcW w:w="7447" w:type="dxa"/>
            <w:shd w:val="clear" w:color="auto" w:fill="auto"/>
          </w:tcPr>
          <w:p w14:paraId="0F2F31CF" w14:textId="0F53B247" w:rsidR="00F14AA6" w:rsidRPr="009A1BE7" w:rsidRDefault="00FB64C0" w:rsidP="00FD7872">
            <w:pPr>
              <w:rPr>
                <w:sz w:val="20"/>
              </w:rPr>
            </w:pPr>
            <w:r w:rsidRPr="009A1BE7">
              <w:rPr>
                <w:sz w:val="20"/>
              </w:rPr>
              <w:t>Number of enterprises supported to develop or adopt new or significantly upgraded services, products and processes based on digital technologies, due to support by measures under the Facility. This includes advanced digital technologies such as</w:t>
            </w:r>
            <w:r w:rsidR="00740A4E" w:rsidRPr="009A1BE7">
              <w:rPr>
                <w:sz w:val="20"/>
              </w:rPr>
              <w:t>, but not limited to,</w:t>
            </w:r>
            <w:r w:rsidR="00D461CF" w:rsidRPr="009A1BE7">
              <w:rPr>
                <w:sz w:val="20"/>
              </w:rPr>
              <w:t xml:space="preserve"> </w:t>
            </w:r>
            <w:r w:rsidRPr="009A1BE7">
              <w:rPr>
                <w:sz w:val="20"/>
              </w:rPr>
              <w:t xml:space="preserve">automation, artificial intelligence, cybersecurity, block chain, cloud and edge infrastructures and data spaces, quantum and high performance computing. Significant upgrades shall cover only new functionalities. </w:t>
            </w:r>
          </w:p>
        </w:tc>
      </w:tr>
      <w:tr w:rsidR="00FB64C0" w:rsidRPr="00255291" w14:paraId="2FF76A66" w14:textId="77777777" w:rsidTr="009A1BE7">
        <w:tc>
          <w:tcPr>
            <w:tcW w:w="2028" w:type="dxa"/>
          </w:tcPr>
          <w:p w14:paraId="4C72EE69" w14:textId="77777777" w:rsidR="00FB64C0" w:rsidRPr="009A1BE7" w:rsidRDefault="00FB64C0" w:rsidP="00FD7872">
            <w:pPr>
              <w:rPr>
                <w:sz w:val="20"/>
              </w:rPr>
            </w:pPr>
            <w:r w:rsidRPr="009A1BE7">
              <w:rPr>
                <w:sz w:val="20"/>
              </w:rPr>
              <w:t>Time measurement</w:t>
            </w:r>
          </w:p>
        </w:tc>
        <w:tc>
          <w:tcPr>
            <w:tcW w:w="7447" w:type="dxa"/>
          </w:tcPr>
          <w:p w14:paraId="277433E4" w14:textId="113C7661" w:rsidR="00364167" w:rsidRPr="009A1BE7" w:rsidRDefault="001A44B5" w:rsidP="00CB3251">
            <w:pPr>
              <w:rPr>
                <w:noProof/>
                <w:color w:val="000000"/>
                <w:sz w:val="20"/>
                <w:lang w:val="en-IE" w:eastAsia="en-IE"/>
              </w:rPr>
            </w:pPr>
            <w:r w:rsidRPr="009A1BE7">
              <w:rPr>
                <w:noProof/>
                <w:color w:val="000000"/>
                <w:sz w:val="20"/>
                <w:lang w:val="en-IE" w:eastAsia="en-IE"/>
              </w:rPr>
              <w:t>Enterprises shall be counted upon the date they receive support by the measures under the Facility</w:t>
            </w:r>
            <w:r w:rsidR="0094059C" w:rsidRPr="009A1BE7">
              <w:rPr>
                <w:noProof/>
                <w:color w:val="000000"/>
                <w:sz w:val="20"/>
                <w:lang w:val="en-IE" w:eastAsia="en-IE"/>
              </w:rPr>
              <w:t xml:space="preserve"> </w:t>
            </w:r>
            <w:r w:rsidR="0094059C" w:rsidRPr="009A1BE7">
              <w:rPr>
                <w:sz w:val="20"/>
                <w:lang w:val="en-IE"/>
              </w:rPr>
              <w:t>(as defined in the general principles)</w:t>
            </w:r>
            <w:r w:rsidRPr="009A1BE7">
              <w:rPr>
                <w:noProof/>
                <w:color w:val="000000"/>
                <w:sz w:val="20"/>
                <w:lang w:val="en-IE" w:eastAsia="en-IE"/>
              </w:rPr>
              <w:t>.</w:t>
            </w:r>
          </w:p>
        </w:tc>
      </w:tr>
      <w:tr w:rsidR="006D57FD" w:rsidRPr="00255291" w14:paraId="00AF635C" w14:textId="77777777" w:rsidTr="009A1BE7">
        <w:tc>
          <w:tcPr>
            <w:tcW w:w="2028" w:type="dxa"/>
          </w:tcPr>
          <w:p w14:paraId="46DF64C8" w14:textId="54536B2A" w:rsidR="006D57FD" w:rsidRPr="009A1BE7" w:rsidRDefault="006D57FD" w:rsidP="00FD7872">
            <w:pPr>
              <w:rPr>
                <w:sz w:val="20"/>
              </w:rPr>
            </w:pPr>
            <w:r w:rsidRPr="009A1BE7">
              <w:rPr>
                <w:sz w:val="20"/>
              </w:rPr>
              <w:t>Counting methodology</w:t>
            </w:r>
          </w:p>
        </w:tc>
        <w:tc>
          <w:tcPr>
            <w:tcW w:w="7447" w:type="dxa"/>
          </w:tcPr>
          <w:p w14:paraId="3DF32378" w14:textId="77777777" w:rsidR="006D57FD" w:rsidRPr="009A1BE7" w:rsidRDefault="006D57FD">
            <w:pPr>
              <w:rPr>
                <w:noProof/>
                <w:color w:val="000000"/>
                <w:sz w:val="20"/>
                <w:lang w:val="en-IE" w:eastAsia="en-IE"/>
              </w:rPr>
            </w:pPr>
            <w:r w:rsidRPr="009A1BE7">
              <w:rPr>
                <w:noProof/>
                <w:color w:val="000000"/>
                <w:sz w:val="20"/>
                <w:lang w:val="en-IE" w:eastAsia="en-IE"/>
              </w:rPr>
              <w:t xml:space="preserve">An enterprise shall be counted per support scheme, even if it lasts several years. An enterprise supported under two </w:t>
            </w:r>
            <w:r w:rsidRPr="009A1BE7">
              <w:rPr>
                <w:i/>
                <w:noProof/>
                <w:color w:val="000000"/>
                <w:sz w:val="20"/>
                <w:lang w:val="en-IE" w:eastAsia="en-IE"/>
              </w:rPr>
              <w:t>different</w:t>
            </w:r>
            <w:r w:rsidRPr="009A1BE7">
              <w:rPr>
                <w:noProof/>
                <w:color w:val="000000"/>
                <w:sz w:val="20"/>
                <w:lang w:val="en-IE" w:eastAsia="en-IE"/>
              </w:rPr>
              <w:t xml:space="preserve"> digitalisation schemes should be counted twice – once per digitalisation scheme (as defined in the general principles).</w:t>
            </w:r>
          </w:p>
          <w:p w14:paraId="032A168A" w14:textId="6ACF15B6" w:rsidR="006D57FD" w:rsidRPr="009A1BE7" w:rsidRDefault="006D57FD">
            <w:pPr>
              <w:rPr>
                <w:noProof/>
                <w:color w:val="000000"/>
                <w:sz w:val="20"/>
                <w:lang w:val="en-IE" w:eastAsia="en-IE"/>
              </w:rPr>
            </w:pPr>
            <w:r w:rsidRPr="009A1BE7">
              <w:rPr>
                <w:noProof/>
                <w:color w:val="000000"/>
                <w:sz w:val="20"/>
                <w:lang w:val="en-IE" w:eastAsia="en-IE"/>
              </w:rPr>
              <w:t>It is understood that this indicator is a subset of indicator 9, in the sense that the number reported under this indicator should always be smaller than the number reported under indicator 9.</w:t>
            </w:r>
          </w:p>
        </w:tc>
      </w:tr>
      <w:tr w:rsidR="00FB64C0" w:rsidRPr="00255291" w14:paraId="5854575D" w14:textId="77777777" w:rsidTr="009A1BE7">
        <w:tc>
          <w:tcPr>
            <w:tcW w:w="2028" w:type="dxa"/>
          </w:tcPr>
          <w:p w14:paraId="41B9AA37" w14:textId="77777777" w:rsidR="00FB64C0" w:rsidRPr="009A1BE7" w:rsidRDefault="00FB64C0" w:rsidP="00FD7872">
            <w:pPr>
              <w:rPr>
                <w:sz w:val="20"/>
              </w:rPr>
            </w:pPr>
            <w:r w:rsidRPr="009A1BE7">
              <w:rPr>
                <w:sz w:val="20"/>
              </w:rPr>
              <w:t xml:space="preserve">Disaggregation </w:t>
            </w:r>
          </w:p>
        </w:tc>
        <w:tc>
          <w:tcPr>
            <w:tcW w:w="7447" w:type="dxa"/>
          </w:tcPr>
          <w:p w14:paraId="0AC3CDAF" w14:textId="77777777" w:rsidR="004413F3" w:rsidRPr="009A1BE7" w:rsidRDefault="00034E68" w:rsidP="004413F3">
            <w:pPr>
              <w:rPr>
                <w:sz w:val="20"/>
              </w:rPr>
            </w:pPr>
            <w:r w:rsidRPr="009A1BE7">
              <w:rPr>
                <w:sz w:val="20"/>
              </w:rPr>
              <w:t>It shall be disaggregated by</w:t>
            </w:r>
            <w:r w:rsidR="004413F3" w:rsidRPr="009A1BE7">
              <w:rPr>
                <w:sz w:val="20"/>
              </w:rPr>
              <w:t>:</w:t>
            </w:r>
          </w:p>
          <w:p w14:paraId="14B673EA" w14:textId="77777777" w:rsidR="00FB64C0" w:rsidRPr="009A1BE7" w:rsidRDefault="004413F3" w:rsidP="004413F3">
            <w:pPr>
              <w:rPr>
                <w:sz w:val="20"/>
              </w:rPr>
            </w:pPr>
            <w:r w:rsidRPr="009A1BE7">
              <w:rPr>
                <w:sz w:val="20"/>
              </w:rPr>
              <w:t xml:space="preserve"> </w:t>
            </w:r>
            <w:r w:rsidR="00FB64C0" w:rsidRPr="009A1BE7">
              <w:rPr>
                <w:sz w:val="20"/>
              </w:rPr>
              <w:t xml:space="preserve">size of enterprise and separately: </w:t>
            </w:r>
          </w:p>
          <w:p w14:paraId="36899A78" w14:textId="77777777" w:rsidR="00FB64C0" w:rsidRPr="009A1BE7" w:rsidRDefault="00FB64C0" w:rsidP="00FD7872">
            <w:pPr>
              <w:pStyle w:val="ListParagraph"/>
              <w:numPr>
                <w:ilvl w:val="0"/>
                <w:numId w:val="25"/>
              </w:numPr>
              <w:rPr>
                <w:sz w:val="20"/>
              </w:rPr>
            </w:pPr>
            <w:r w:rsidRPr="009A1BE7">
              <w:rPr>
                <w:sz w:val="20"/>
              </w:rPr>
              <w:t xml:space="preserve">for enterprises supported to develop digital technologies and solutions and </w:t>
            </w:r>
          </w:p>
          <w:p w14:paraId="57F7CBDA" w14:textId="77777777" w:rsidR="00FB64C0" w:rsidRPr="009A1BE7" w:rsidRDefault="00FB64C0" w:rsidP="00FD7872">
            <w:pPr>
              <w:pStyle w:val="ListParagraph"/>
              <w:numPr>
                <w:ilvl w:val="0"/>
                <w:numId w:val="25"/>
              </w:numPr>
              <w:rPr>
                <w:sz w:val="20"/>
                <w:lang w:val="en-IE"/>
              </w:rPr>
            </w:pPr>
            <w:r w:rsidRPr="009A1BE7">
              <w:rPr>
                <w:sz w:val="20"/>
              </w:rPr>
              <w:t xml:space="preserve">for enterprises supported to adopt digital solutions to transform their services, products or processes. </w:t>
            </w:r>
          </w:p>
        </w:tc>
      </w:tr>
      <w:tr w:rsidR="00FB64C0" w:rsidRPr="00255291" w14:paraId="374D6C17" w14:textId="77777777" w:rsidTr="009A1BE7">
        <w:tc>
          <w:tcPr>
            <w:tcW w:w="2028" w:type="dxa"/>
          </w:tcPr>
          <w:p w14:paraId="36A87D94" w14:textId="77777777" w:rsidR="00FB64C0" w:rsidRPr="009A1BE7" w:rsidRDefault="00FB64C0" w:rsidP="00FD7872">
            <w:pPr>
              <w:rPr>
                <w:sz w:val="20"/>
              </w:rPr>
            </w:pPr>
            <w:r w:rsidRPr="009A1BE7">
              <w:rPr>
                <w:sz w:val="20"/>
              </w:rPr>
              <w:t xml:space="preserve">References </w:t>
            </w:r>
          </w:p>
        </w:tc>
        <w:tc>
          <w:tcPr>
            <w:tcW w:w="7447" w:type="dxa"/>
          </w:tcPr>
          <w:p w14:paraId="78E654BA" w14:textId="7A3C3435" w:rsidR="00FB64C0" w:rsidRPr="009A1BE7" w:rsidRDefault="00EF71D2" w:rsidP="00FD7872">
            <w:pPr>
              <w:rPr>
                <w:sz w:val="20"/>
              </w:rPr>
            </w:pPr>
            <w:r w:rsidRPr="009A1BE7">
              <w:rPr>
                <w:sz w:val="20"/>
              </w:rPr>
              <w:t>Definitions of enterprises and their size in the general principles of this guidance.</w:t>
            </w:r>
          </w:p>
        </w:tc>
      </w:tr>
      <w:tr w:rsidR="00FB64C0" w:rsidRPr="00255291" w14:paraId="2F7878C2" w14:textId="77777777" w:rsidTr="009A1BE7">
        <w:tc>
          <w:tcPr>
            <w:tcW w:w="2028" w:type="dxa"/>
          </w:tcPr>
          <w:p w14:paraId="30388666" w14:textId="77777777" w:rsidR="00FB64C0" w:rsidRPr="009A1BE7" w:rsidRDefault="00FB64C0" w:rsidP="00FD7872">
            <w:pPr>
              <w:rPr>
                <w:sz w:val="20"/>
              </w:rPr>
            </w:pPr>
            <w:r w:rsidRPr="009A1BE7">
              <w:rPr>
                <w:sz w:val="20"/>
              </w:rPr>
              <w:t>Corresponding Structural Funds indicator(s)</w:t>
            </w:r>
          </w:p>
        </w:tc>
        <w:tc>
          <w:tcPr>
            <w:tcW w:w="7447" w:type="dxa"/>
          </w:tcPr>
          <w:p w14:paraId="0388BAF2" w14:textId="77777777" w:rsidR="00FB64C0" w:rsidRPr="009A1BE7" w:rsidRDefault="00FB64C0" w:rsidP="00FD7872">
            <w:pPr>
              <w:rPr>
                <w:sz w:val="20"/>
              </w:rPr>
            </w:pPr>
            <w:r w:rsidRPr="009A1BE7">
              <w:rPr>
                <w:sz w:val="20"/>
              </w:rPr>
              <w:t>NA</w:t>
            </w:r>
          </w:p>
        </w:tc>
      </w:tr>
    </w:tbl>
    <w:p w14:paraId="52367A10" w14:textId="6D700091" w:rsidR="001550EF" w:rsidRPr="00255291" w:rsidRDefault="001550EF" w:rsidP="00FB64C0"/>
    <w:p w14:paraId="001C7D8B" w14:textId="43BA01BA" w:rsidR="00FB64C0" w:rsidRDefault="00FB64C0" w:rsidP="001F5716">
      <w:pPr>
        <w:pStyle w:val="Heading2"/>
        <w:numPr>
          <w:ilvl w:val="1"/>
          <w:numId w:val="43"/>
        </w:numPr>
        <w:rPr>
          <w:rFonts w:ascii="Times New Roman" w:hAnsi="Times New Roman" w:cs="Times New Roman"/>
          <w:b/>
          <w:color w:val="auto"/>
        </w:rPr>
      </w:pPr>
      <w:bookmarkStart w:id="15" w:name="_Toc93393182"/>
      <w:r w:rsidRPr="00255291">
        <w:rPr>
          <w:rFonts w:ascii="Times New Roman" w:hAnsi="Times New Roman" w:cs="Times New Roman"/>
          <w:b/>
          <w:color w:val="auto"/>
        </w:rPr>
        <w:lastRenderedPageBreak/>
        <w:t>Users of new and upgraded public digital services, products and processes</w:t>
      </w:r>
      <w:bookmarkEnd w:id="15"/>
    </w:p>
    <w:p w14:paraId="79ED884A" w14:textId="77777777" w:rsidR="001F5716" w:rsidRPr="001F5716" w:rsidRDefault="001F5716" w:rsidP="001F5716"/>
    <w:tbl>
      <w:tblPr>
        <w:tblStyle w:val="TableGrid"/>
        <w:tblW w:w="9475" w:type="dxa"/>
        <w:tblLook w:val="04A0" w:firstRow="1" w:lastRow="0" w:firstColumn="1" w:lastColumn="0" w:noHBand="0" w:noVBand="1"/>
      </w:tblPr>
      <w:tblGrid>
        <w:gridCol w:w="2028"/>
        <w:gridCol w:w="7447"/>
      </w:tblGrid>
      <w:tr w:rsidR="00FB64C0" w:rsidRPr="00255291" w14:paraId="6FBBF2E3" w14:textId="77777777" w:rsidTr="009A1BE7">
        <w:tc>
          <w:tcPr>
            <w:tcW w:w="2028" w:type="dxa"/>
          </w:tcPr>
          <w:p w14:paraId="6008F192" w14:textId="77777777" w:rsidR="00FB64C0" w:rsidRPr="009A1BE7" w:rsidRDefault="00FB64C0" w:rsidP="00FD7872">
            <w:pPr>
              <w:rPr>
                <w:sz w:val="20"/>
              </w:rPr>
            </w:pPr>
            <w:r w:rsidRPr="009A1BE7">
              <w:rPr>
                <w:sz w:val="20"/>
              </w:rPr>
              <w:t>Indicator code</w:t>
            </w:r>
          </w:p>
        </w:tc>
        <w:tc>
          <w:tcPr>
            <w:tcW w:w="7447" w:type="dxa"/>
          </w:tcPr>
          <w:p w14:paraId="52285118" w14:textId="77777777" w:rsidR="00FB64C0" w:rsidRPr="009A1BE7" w:rsidRDefault="00FB64C0" w:rsidP="00FD7872">
            <w:pPr>
              <w:rPr>
                <w:sz w:val="20"/>
              </w:rPr>
            </w:pPr>
            <w:r w:rsidRPr="009A1BE7">
              <w:rPr>
                <w:sz w:val="20"/>
              </w:rPr>
              <w:t>RRFCI07</w:t>
            </w:r>
          </w:p>
        </w:tc>
      </w:tr>
      <w:tr w:rsidR="00FB64C0" w:rsidRPr="00255291" w14:paraId="154625B6" w14:textId="77777777" w:rsidTr="009A1BE7">
        <w:tc>
          <w:tcPr>
            <w:tcW w:w="2028" w:type="dxa"/>
            <w:shd w:val="clear" w:color="auto" w:fill="auto"/>
          </w:tcPr>
          <w:p w14:paraId="1861E142" w14:textId="77777777" w:rsidR="00FB64C0" w:rsidRPr="009A1BE7" w:rsidRDefault="00FB64C0" w:rsidP="00FD7872">
            <w:pPr>
              <w:rPr>
                <w:sz w:val="20"/>
              </w:rPr>
            </w:pPr>
            <w:r w:rsidRPr="009A1BE7">
              <w:rPr>
                <w:sz w:val="20"/>
              </w:rPr>
              <w:t>Indicator name</w:t>
            </w:r>
          </w:p>
        </w:tc>
        <w:tc>
          <w:tcPr>
            <w:tcW w:w="7447" w:type="dxa"/>
            <w:shd w:val="clear" w:color="auto" w:fill="auto"/>
          </w:tcPr>
          <w:p w14:paraId="7E0B5EF0" w14:textId="77777777" w:rsidR="00FB64C0" w:rsidRPr="009A1BE7" w:rsidRDefault="00FB64C0" w:rsidP="00FD7872">
            <w:pPr>
              <w:rPr>
                <w:sz w:val="20"/>
              </w:rPr>
            </w:pPr>
            <w:r w:rsidRPr="009A1BE7">
              <w:rPr>
                <w:sz w:val="20"/>
              </w:rPr>
              <w:t>Users of new and upgraded public digital services, products and processes</w:t>
            </w:r>
          </w:p>
        </w:tc>
      </w:tr>
      <w:tr w:rsidR="00FB64C0" w:rsidRPr="00255291" w14:paraId="3B9188D8" w14:textId="77777777" w:rsidTr="009A1BE7">
        <w:tc>
          <w:tcPr>
            <w:tcW w:w="2028" w:type="dxa"/>
            <w:shd w:val="clear" w:color="auto" w:fill="auto"/>
          </w:tcPr>
          <w:p w14:paraId="3F2168CC" w14:textId="77777777" w:rsidR="00FB64C0" w:rsidRPr="009A1BE7" w:rsidRDefault="00FB64C0" w:rsidP="00FD7872">
            <w:pPr>
              <w:rPr>
                <w:sz w:val="20"/>
              </w:rPr>
            </w:pPr>
            <w:r w:rsidRPr="009A1BE7">
              <w:rPr>
                <w:sz w:val="20"/>
              </w:rPr>
              <w:t>Measurement unit</w:t>
            </w:r>
          </w:p>
        </w:tc>
        <w:tc>
          <w:tcPr>
            <w:tcW w:w="7447" w:type="dxa"/>
            <w:shd w:val="clear" w:color="auto" w:fill="auto"/>
          </w:tcPr>
          <w:p w14:paraId="7FBE1DFE" w14:textId="77777777" w:rsidR="00FB64C0" w:rsidRPr="009A1BE7" w:rsidRDefault="00FB64C0" w:rsidP="00FD7872">
            <w:pPr>
              <w:rPr>
                <w:sz w:val="20"/>
              </w:rPr>
            </w:pPr>
            <w:r w:rsidRPr="009A1BE7">
              <w:rPr>
                <w:sz w:val="20"/>
              </w:rPr>
              <w:t xml:space="preserve">Users/year </w:t>
            </w:r>
          </w:p>
        </w:tc>
      </w:tr>
      <w:tr w:rsidR="00D0748F" w:rsidRPr="00255291" w14:paraId="46B5A848" w14:textId="77777777" w:rsidTr="009A1BE7">
        <w:tc>
          <w:tcPr>
            <w:tcW w:w="2028" w:type="dxa"/>
            <w:shd w:val="clear" w:color="auto" w:fill="auto"/>
          </w:tcPr>
          <w:p w14:paraId="069D4640" w14:textId="45AD9F59" w:rsidR="00D0748F" w:rsidRPr="009A1BE7" w:rsidRDefault="00D0748F" w:rsidP="00FD7872">
            <w:pPr>
              <w:rPr>
                <w:sz w:val="20"/>
              </w:rPr>
            </w:pPr>
            <w:r w:rsidRPr="009A1BE7">
              <w:rPr>
                <w:sz w:val="20"/>
              </w:rPr>
              <w:t>Type of indicator</w:t>
            </w:r>
          </w:p>
        </w:tc>
        <w:tc>
          <w:tcPr>
            <w:tcW w:w="7447" w:type="dxa"/>
            <w:shd w:val="clear" w:color="auto" w:fill="auto"/>
          </w:tcPr>
          <w:p w14:paraId="5A9CA6BE" w14:textId="0A7C3F0D" w:rsidR="00D0748F" w:rsidRPr="009A1BE7" w:rsidRDefault="00D0748F" w:rsidP="00FD7872">
            <w:pPr>
              <w:rPr>
                <w:sz w:val="20"/>
              </w:rPr>
            </w:pPr>
            <w:r w:rsidRPr="009A1BE7">
              <w:rPr>
                <w:sz w:val="20"/>
              </w:rPr>
              <w:t>Flow</w:t>
            </w:r>
          </w:p>
        </w:tc>
      </w:tr>
      <w:tr w:rsidR="00597BFE" w:rsidRPr="00255291" w14:paraId="78BB7516" w14:textId="77777777" w:rsidTr="009A1BE7">
        <w:tc>
          <w:tcPr>
            <w:tcW w:w="2028" w:type="dxa"/>
            <w:shd w:val="clear" w:color="auto" w:fill="auto"/>
          </w:tcPr>
          <w:p w14:paraId="593B8BC7" w14:textId="77777777" w:rsidR="00597BFE" w:rsidRPr="009A1BE7" w:rsidRDefault="00597BFE" w:rsidP="00FD7872">
            <w:pPr>
              <w:rPr>
                <w:sz w:val="20"/>
              </w:rPr>
            </w:pPr>
            <w:r w:rsidRPr="009A1BE7">
              <w:rPr>
                <w:sz w:val="20"/>
              </w:rPr>
              <w:t xml:space="preserve">Baseline </w:t>
            </w:r>
          </w:p>
        </w:tc>
        <w:tc>
          <w:tcPr>
            <w:tcW w:w="7447" w:type="dxa"/>
            <w:shd w:val="clear" w:color="auto" w:fill="auto"/>
          </w:tcPr>
          <w:p w14:paraId="77043D95" w14:textId="5E50AE03" w:rsidR="00A732A4" w:rsidRPr="009A1BE7" w:rsidRDefault="0086273B">
            <w:pPr>
              <w:rPr>
                <w:sz w:val="20"/>
              </w:rPr>
            </w:pPr>
            <w:r w:rsidRPr="009A1BE7">
              <w:rPr>
                <w:sz w:val="20"/>
              </w:rPr>
              <w:t>0</w:t>
            </w:r>
            <w:r w:rsidR="00A732A4" w:rsidRPr="009A1BE7">
              <w:rPr>
                <w:sz w:val="20"/>
              </w:rPr>
              <w:t>, reset every reporting round.</w:t>
            </w:r>
          </w:p>
        </w:tc>
      </w:tr>
      <w:tr w:rsidR="00FB64C0" w:rsidRPr="00255291" w14:paraId="0669039A" w14:textId="77777777" w:rsidTr="009A1BE7">
        <w:tc>
          <w:tcPr>
            <w:tcW w:w="2028" w:type="dxa"/>
            <w:shd w:val="clear" w:color="auto" w:fill="auto"/>
          </w:tcPr>
          <w:p w14:paraId="4A87C5DA" w14:textId="77777777" w:rsidR="00FB64C0" w:rsidRPr="009A1BE7" w:rsidRDefault="00FB64C0" w:rsidP="00FD7872">
            <w:pPr>
              <w:rPr>
                <w:sz w:val="20"/>
              </w:rPr>
            </w:pPr>
            <w:r w:rsidRPr="009A1BE7">
              <w:rPr>
                <w:sz w:val="20"/>
              </w:rPr>
              <w:t>RRF Pillars</w:t>
            </w:r>
          </w:p>
        </w:tc>
        <w:tc>
          <w:tcPr>
            <w:tcW w:w="7447" w:type="dxa"/>
            <w:shd w:val="clear" w:color="auto" w:fill="auto"/>
          </w:tcPr>
          <w:p w14:paraId="55BE1595" w14:textId="77777777" w:rsidR="00FB64C0" w:rsidRPr="009A1BE7" w:rsidRDefault="00FB64C0" w:rsidP="00FD7872">
            <w:pPr>
              <w:rPr>
                <w:sz w:val="20"/>
              </w:rPr>
            </w:pPr>
            <w:r w:rsidRPr="009A1BE7">
              <w:rPr>
                <w:sz w:val="20"/>
              </w:rPr>
              <w:t>Pillar 2 Digital transformation</w:t>
            </w:r>
          </w:p>
          <w:p w14:paraId="784EE9B7" w14:textId="77777777" w:rsidR="00FB64C0" w:rsidRPr="009A1BE7" w:rsidRDefault="00FB64C0" w:rsidP="00FD7872">
            <w:pPr>
              <w:rPr>
                <w:sz w:val="20"/>
              </w:rPr>
            </w:pPr>
            <w:r w:rsidRPr="009A1BE7">
              <w:rPr>
                <w:sz w:val="20"/>
              </w:rPr>
              <w:t>Pillar 5 Health, Economic Social and Institutional Resilience</w:t>
            </w:r>
          </w:p>
        </w:tc>
      </w:tr>
      <w:tr w:rsidR="00FB64C0" w:rsidRPr="00255291" w14:paraId="5AB8766A" w14:textId="77777777" w:rsidTr="009A1BE7">
        <w:tc>
          <w:tcPr>
            <w:tcW w:w="2028" w:type="dxa"/>
            <w:shd w:val="clear" w:color="auto" w:fill="auto"/>
          </w:tcPr>
          <w:p w14:paraId="05BBD0A3" w14:textId="77777777" w:rsidR="00FB64C0" w:rsidRPr="009A1BE7" w:rsidRDefault="00FB64C0" w:rsidP="00FD7872">
            <w:pPr>
              <w:rPr>
                <w:sz w:val="20"/>
              </w:rPr>
            </w:pPr>
            <w:r w:rsidRPr="009A1BE7">
              <w:rPr>
                <w:sz w:val="20"/>
              </w:rPr>
              <w:t>Definition and concept</w:t>
            </w:r>
          </w:p>
        </w:tc>
        <w:tc>
          <w:tcPr>
            <w:tcW w:w="7447" w:type="dxa"/>
            <w:shd w:val="clear" w:color="auto" w:fill="auto"/>
          </w:tcPr>
          <w:p w14:paraId="113FBEB5" w14:textId="77777777" w:rsidR="00FB64C0" w:rsidRPr="009A1BE7" w:rsidRDefault="00FB64C0" w:rsidP="00FD7872">
            <w:pPr>
              <w:rPr>
                <w:sz w:val="20"/>
              </w:rPr>
            </w:pPr>
            <w:r w:rsidRPr="009A1BE7">
              <w:rPr>
                <w:sz w:val="20"/>
              </w:rPr>
              <w:t xml:space="preserve">Number of users of the digital public services, products and processes newly developed or significantly upgraded through support by measures under the Facility. Significant upgrades shall cover only new functionalities. </w:t>
            </w:r>
          </w:p>
          <w:p w14:paraId="07156460" w14:textId="600ED128" w:rsidR="00FB64C0" w:rsidRPr="009A1BE7" w:rsidRDefault="00FB64C0" w:rsidP="003819EE">
            <w:pPr>
              <w:rPr>
                <w:sz w:val="20"/>
              </w:rPr>
            </w:pPr>
            <w:r w:rsidRPr="009A1BE7">
              <w:rPr>
                <w:sz w:val="20"/>
              </w:rPr>
              <w:t xml:space="preserve">Users refer to the clients of the public services and products newly developed or upgraded through support by measures under the Facility, and to the staff of the public institution using the digital processes newly developed or significantly upgraded through support by measures under the Facility. </w:t>
            </w:r>
          </w:p>
        </w:tc>
      </w:tr>
      <w:tr w:rsidR="00FB64C0" w:rsidRPr="00255291" w14:paraId="220A1028" w14:textId="77777777" w:rsidTr="009A1BE7">
        <w:tc>
          <w:tcPr>
            <w:tcW w:w="2028" w:type="dxa"/>
          </w:tcPr>
          <w:p w14:paraId="71A39B8B" w14:textId="77777777" w:rsidR="00FB64C0" w:rsidRPr="009A1BE7" w:rsidRDefault="00FB64C0" w:rsidP="00C478FC">
            <w:pPr>
              <w:rPr>
                <w:sz w:val="20"/>
              </w:rPr>
            </w:pPr>
            <w:r w:rsidRPr="009A1BE7">
              <w:rPr>
                <w:sz w:val="20"/>
              </w:rPr>
              <w:t>Time measurement</w:t>
            </w:r>
          </w:p>
        </w:tc>
        <w:tc>
          <w:tcPr>
            <w:tcW w:w="7447" w:type="dxa"/>
          </w:tcPr>
          <w:p w14:paraId="2C9317F0" w14:textId="77777777" w:rsidR="00FB64C0" w:rsidRPr="009A1BE7" w:rsidRDefault="00FB64C0" w:rsidP="00C478FC">
            <w:pPr>
              <w:rPr>
                <w:sz w:val="20"/>
              </w:rPr>
            </w:pPr>
            <w:r w:rsidRPr="009A1BE7">
              <w:rPr>
                <w:sz w:val="20"/>
                <w:lang w:val="en-IE"/>
              </w:rPr>
              <w:t>Upon first connection to the service</w:t>
            </w:r>
            <w:r w:rsidR="0094059C" w:rsidRPr="009A1BE7">
              <w:rPr>
                <w:sz w:val="20"/>
                <w:lang w:val="en-IE"/>
              </w:rPr>
              <w:t xml:space="preserve"> (as defined in the general principles)</w:t>
            </w:r>
            <w:r w:rsidRPr="009A1BE7">
              <w:rPr>
                <w:sz w:val="20"/>
                <w:lang w:val="en-IE"/>
              </w:rPr>
              <w:t xml:space="preserve">. </w:t>
            </w:r>
          </w:p>
        </w:tc>
      </w:tr>
      <w:tr w:rsidR="003819EE" w:rsidRPr="00255291" w14:paraId="79FCEAE3" w14:textId="77777777" w:rsidTr="009A1BE7">
        <w:tc>
          <w:tcPr>
            <w:tcW w:w="2028" w:type="dxa"/>
          </w:tcPr>
          <w:p w14:paraId="2CD2DCCF" w14:textId="0EE7A4A1" w:rsidR="003819EE" w:rsidRPr="009A1BE7" w:rsidRDefault="003819EE" w:rsidP="00C478FC">
            <w:pPr>
              <w:rPr>
                <w:sz w:val="20"/>
              </w:rPr>
            </w:pPr>
            <w:r w:rsidRPr="009A1BE7">
              <w:rPr>
                <w:sz w:val="20"/>
              </w:rPr>
              <w:t>Counting methodology</w:t>
            </w:r>
          </w:p>
        </w:tc>
        <w:tc>
          <w:tcPr>
            <w:tcW w:w="7447" w:type="dxa"/>
          </w:tcPr>
          <w:p w14:paraId="1482B918" w14:textId="3A206AB8" w:rsidR="00AD5ACB" w:rsidRPr="009A1BE7" w:rsidRDefault="00AD5ACB" w:rsidP="003819EE">
            <w:pPr>
              <w:rPr>
                <w:sz w:val="20"/>
              </w:rPr>
            </w:pPr>
            <w:r w:rsidRPr="009A1BE7">
              <w:rPr>
                <w:sz w:val="20"/>
              </w:rPr>
              <w:t>When reporting takes place more than once a year, Member States should report the number of users for the reporting period covered up to the cut-off date. The data per year will be calculated by the Commission.</w:t>
            </w:r>
          </w:p>
          <w:p w14:paraId="7B701897" w14:textId="1A8DA061" w:rsidR="003819EE" w:rsidRPr="009A1BE7" w:rsidRDefault="00862C95" w:rsidP="003819EE">
            <w:pPr>
              <w:rPr>
                <w:strike/>
                <w:sz w:val="20"/>
              </w:rPr>
            </w:pPr>
            <w:r w:rsidRPr="009A1BE7">
              <w:rPr>
                <w:sz w:val="20"/>
              </w:rPr>
              <w:t>C</w:t>
            </w:r>
            <w:r w:rsidR="00FB64C0" w:rsidRPr="009A1BE7">
              <w:rPr>
                <w:sz w:val="20"/>
              </w:rPr>
              <w:t xml:space="preserve">ounting the same </w:t>
            </w:r>
            <w:r w:rsidR="00EF71D2" w:rsidRPr="009A1BE7">
              <w:rPr>
                <w:sz w:val="20"/>
              </w:rPr>
              <w:t>user of</w:t>
            </w:r>
            <w:r w:rsidR="00FB64C0" w:rsidRPr="009A1BE7">
              <w:rPr>
                <w:sz w:val="20"/>
              </w:rPr>
              <w:t xml:space="preserve"> an online service several times shall not be considered as double counting</w:t>
            </w:r>
            <w:r w:rsidRPr="009A1BE7">
              <w:rPr>
                <w:sz w:val="20"/>
              </w:rPr>
              <w:t>[, whether individual users can be identified or not]</w:t>
            </w:r>
            <w:r w:rsidR="00FB64C0" w:rsidRPr="009A1BE7">
              <w:rPr>
                <w:sz w:val="20"/>
              </w:rPr>
              <w:t>.</w:t>
            </w:r>
          </w:p>
          <w:p w14:paraId="306DA919" w14:textId="464E7571" w:rsidR="0069185E" w:rsidRPr="009A1BE7" w:rsidRDefault="003819EE" w:rsidP="0069185E">
            <w:pPr>
              <w:rPr>
                <w:sz w:val="20"/>
              </w:rPr>
            </w:pPr>
            <w:r w:rsidRPr="009A1BE7">
              <w:rPr>
                <w:sz w:val="20"/>
              </w:rPr>
              <w:t>Users of a new/upgraded service should be counted over the period of implementation of the plan in order to capture the uptake.</w:t>
            </w:r>
          </w:p>
        </w:tc>
      </w:tr>
      <w:tr w:rsidR="00FB64C0" w:rsidRPr="00255291" w14:paraId="45A60462" w14:textId="77777777" w:rsidTr="009A1BE7">
        <w:tc>
          <w:tcPr>
            <w:tcW w:w="2028" w:type="dxa"/>
          </w:tcPr>
          <w:p w14:paraId="771A8A52" w14:textId="77777777" w:rsidR="00FB64C0" w:rsidRPr="009A1BE7" w:rsidRDefault="00FB64C0" w:rsidP="00C478FC">
            <w:pPr>
              <w:rPr>
                <w:sz w:val="20"/>
              </w:rPr>
            </w:pPr>
            <w:r w:rsidRPr="009A1BE7">
              <w:rPr>
                <w:sz w:val="20"/>
              </w:rPr>
              <w:t>Disaggregation</w:t>
            </w:r>
          </w:p>
        </w:tc>
        <w:tc>
          <w:tcPr>
            <w:tcW w:w="7447" w:type="dxa"/>
          </w:tcPr>
          <w:p w14:paraId="50396A0B" w14:textId="77777777" w:rsidR="00FB64C0" w:rsidRPr="009A1BE7" w:rsidRDefault="00FB64C0" w:rsidP="00C478FC">
            <w:pPr>
              <w:rPr>
                <w:sz w:val="20"/>
                <w:lang w:val="en-IE"/>
              </w:rPr>
            </w:pPr>
            <w:r w:rsidRPr="009A1BE7">
              <w:rPr>
                <w:sz w:val="20"/>
                <w:lang w:val="en-IE"/>
              </w:rPr>
              <w:t>None.</w:t>
            </w:r>
          </w:p>
        </w:tc>
      </w:tr>
      <w:tr w:rsidR="00FB64C0" w:rsidRPr="00255291" w14:paraId="5EB582F4" w14:textId="77777777" w:rsidTr="009A1BE7">
        <w:tc>
          <w:tcPr>
            <w:tcW w:w="2028" w:type="dxa"/>
          </w:tcPr>
          <w:p w14:paraId="0D02FC05" w14:textId="77777777" w:rsidR="00FB64C0" w:rsidRPr="009A1BE7" w:rsidRDefault="00FB64C0" w:rsidP="00C478FC">
            <w:pPr>
              <w:rPr>
                <w:sz w:val="20"/>
              </w:rPr>
            </w:pPr>
            <w:r w:rsidRPr="009A1BE7">
              <w:rPr>
                <w:sz w:val="20"/>
              </w:rPr>
              <w:t xml:space="preserve">References </w:t>
            </w:r>
          </w:p>
        </w:tc>
        <w:tc>
          <w:tcPr>
            <w:tcW w:w="7447" w:type="dxa"/>
          </w:tcPr>
          <w:p w14:paraId="5F5F1BAC" w14:textId="459D6675" w:rsidR="00FB64C0" w:rsidRPr="009A1BE7" w:rsidRDefault="00FB64C0" w:rsidP="00C478FC">
            <w:pPr>
              <w:rPr>
                <w:sz w:val="20"/>
              </w:rPr>
            </w:pPr>
            <w:r w:rsidRPr="009A1BE7">
              <w:rPr>
                <w:sz w:val="20"/>
              </w:rPr>
              <w:t>Eurostat: isoc_</w:t>
            </w:r>
            <w:r w:rsidR="00C478FC" w:rsidRPr="009A1BE7">
              <w:rPr>
                <w:sz w:val="20"/>
              </w:rPr>
              <w:t xml:space="preserve"> </w:t>
            </w:r>
            <w:r w:rsidRPr="009A1BE7">
              <w:rPr>
                <w:sz w:val="20"/>
              </w:rPr>
              <w:t>bde15</w:t>
            </w:r>
          </w:p>
        </w:tc>
      </w:tr>
      <w:tr w:rsidR="00FB64C0" w:rsidRPr="00255291" w14:paraId="7434556B" w14:textId="77777777" w:rsidTr="009A1BE7">
        <w:tc>
          <w:tcPr>
            <w:tcW w:w="2028" w:type="dxa"/>
          </w:tcPr>
          <w:p w14:paraId="746DB2F0" w14:textId="77777777" w:rsidR="00FB64C0" w:rsidRPr="009A1BE7" w:rsidRDefault="00FB64C0" w:rsidP="00FD7872">
            <w:pPr>
              <w:rPr>
                <w:sz w:val="20"/>
              </w:rPr>
            </w:pPr>
            <w:r w:rsidRPr="009A1BE7">
              <w:rPr>
                <w:sz w:val="20"/>
              </w:rPr>
              <w:t>Corresponding Structural Funds indicator(s)</w:t>
            </w:r>
          </w:p>
        </w:tc>
        <w:tc>
          <w:tcPr>
            <w:tcW w:w="7447" w:type="dxa"/>
          </w:tcPr>
          <w:p w14:paraId="2F769B66" w14:textId="77777777" w:rsidR="00FB64C0" w:rsidRPr="009A1BE7" w:rsidRDefault="00FB64C0" w:rsidP="00FD7872">
            <w:pPr>
              <w:rPr>
                <w:sz w:val="20"/>
              </w:rPr>
            </w:pPr>
            <w:r w:rsidRPr="009A1BE7">
              <w:rPr>
                <w:sz w:val="20"/>
              </w:rPr>
              <w:t>RCR11 Users of new and upgraded public digital services, products and processes</w:t>
            </w:r>
          </w:p>
        </w:tc>
      </w:tr>
    </w:tbl>
    <w:p w14:paraId="683D6530" w14:textId="22FA859F" w:rsidR="00FB64C0" w:rsidRPr="001550EF" w:rsidRDefault="009A6156" w:rsidP="001550EF">
      <w:pPr>
        <w:pStyle w:val="ListParagraph"/>
        <w:ind w:left="1152"/>
        <w:rPr>
          <w:b/>
        </w:rPr>
      </w:pPr>
      <w:r w:rsidRPr="00255291">
        <w:rPr>
          <w:b/>
        </w:rPr>
        <w:br w:type="page"/>
      </w:r>
    </w:p>
    <w:p w14:paraId="0B24770A" w14:textId="13250249" w:rsidR="001F5716" w:rsidRPr="001550EF" w:rsidRDefault="00FB64C0" w:rsidP="001F5716">
      <w:pPr>
        <w:pStyle w:val="Heading2"/>
        <w:numPr>
          <w:ilvl w:val="1"/>
          <w:numId w:val="43"/>
        </w:numPr>
        <w:rPr>
          <w:rFonts w:ascii="Times New Roman" w:hAnsi="Times New Roman" w:cs="Times New Roman"/>
          <w:b/>
          <w:color w:val="auto"/>
        </w:rPr>
      </w:pPr>
      <w:bookmarkStart w:id="16" w:name="_Toc93393183"/>
      <w:r w:rsidRPr="00255291">
        <w:rPr>
          <w:rFonts w:ascii="Times New Roman" w:hAnsi="Times New Roman" w:cs="Times New Roman"/>
          <w:b/>
          <w:color w:val="auto"/>
        </w:rPr>
        <w:lastRenderedPageBreak/>
        <w:t>Researchers working in supported research facilities</w:t>
      </w:r>
      <w:bookmarkEnd w:id="16"/>
    </w:p>
    <w:tbl>
      <w:tblPr>
        <w:tblStyle w:val="TableGrid"/>
        <w:tblW w:w="9475" w:type="dxa"/>
        <w:tblLook w:val="04A0" w:firstRow="1" w:lastRow="0" w:firstColumn="1" w:lastColumn="0" w:noHBand="0" w:noVBand="1"/>
      </w:tblPr>
      <w:tblGrid>
        <w:gridCol w:w="2028"/>
        <w:gridCol w:w="7447"/>
      </w:tblGrid>
      <w:tr w:rsidR="00FB64C0" w:rsidRPr="00255291" w14:paraId="23E9ABA8" w14:textId="77777777" w:rsidTr="009A1BE7">
        <w:tc>
          <w:tcPr>
            <w:tcW w:w="2028" w:type="dxa"/>
          </w:tcPr>
          <w:p w14:paraId="45E59138" w14:textId="77777777" w:rsidR="00FB64C0" w:rsidRPr="009A1BE7" w:rsidRDefault="00FB64C0" w:rsidP="00FD7872">
            <w:pPr>
              <w:rPr>
                <w:sz w:val="20"/>
              </w:rPr>
            </w:pPr>
            <w:r w:rsidRPr="009A1BE7">
              <w:rPr>
                <w:sz w:val="20"/>
              </w:rPr>
              <w:t>Indicator code</w:t>
            </w:r>
          </w:p>
        </w:tc>
        <w:tc>
          <w:tcPr>
            <w:tcW w:w="7447" w:type="dxa"/>
          </w:tcPr>
          <w:p w14:paraId="1300E1F8" w14:textId="77777777" w:rsidR="00FB64C0" w:rsidRPr="009A1BE7" w:rsidRDefault="00FB64C0" w:rsidP="00FD7872">
            <w:pPr>
              <w:rPr>
                <w:sz w:val="20"/>
              </w:rPr>
            </w:pPr>
            <w:r w:rsidRPr="009A1BE7">
              <w:rPr>
                <w:sz w:val="20"/>
              </w:rPr>
              <w:t>RRFCI08</w:t>
            </w:r>
          </w:p>
        </w:tc>
      </w:tr>
      <w:tr w:rsidR="00FB64C0" w:rsidRPr="00255291" w14:paraId="38CCBEAF" w14:textId="77777777" w:rsidTr="009A1BE7">
        <w:tc>
          <w:tcPr>
            <w:tcW w:w="2028" w:type="dxa"/>
            <w:shd w:val="clear" w:color="auto" w:fill="auto"/>
          </w:tcPr>
          <w:p w14:paraId="566B0739" w14:textId="77777777" w:rsidR="00FB64C0" w:rsidRPr="009A1BE7" w:rsidRDefault="00FB64C0" w:rsidP="00FD7872">
            <w:pPr>
              <w:rPr>
                <w:sz w:val="20"/>
              </w:rPr>
            </w:pPr>
            <w:r w:rsidRPr="009A1BE7">
              <w:rPr>
                <w:sz w:val="20"/>
              </w:rPr>
              <w:t>Indicator name</w:t>
            </w:r>
          </w:p>
        </w:tc>
        <w:tc>
          <w:tcPr>
            <w:tcW w:w="7447" w:type="dxa"/>
            <w:shd w:val="clear" w:color="auto" w:fill="auto"/>
          </w:tcPr>
          <w:p w14:paraId="63010293" w14:textId="77777777" w:rsidR="00FB64C0" w:rsidRPr="009A1BE7" w:rsidRDefault="00FB64C0" w:rsidP="00FD7872">
            <w:pPr>
              <w:rPr>
                <w:sz w:val="20"/>
              </w:rPr>
            </w:pPr>
            <w:r w:rsidRPr="009A1BE7">
              <w:rPr>
                <w:sz w:val="20"/>
              </w:rPr>
              <w:t>Researchers working in supported research facilities</w:t>
            </w:r>
          </w:p>
        </w:tc>
      </w:tr>
      <w:tr w:rsidR="00FB64C0" w:rsidRPr="00255291" w14:paraId="3F8EE3B8" w14:textId="77777777" w:rsidTr="009A1BE7">
        <w:tc>
          <w:tcPr>
            <w:tcW w:w="2028" w:type="dxa"/>
            <w:shd w:val="clear" w:color="auto" w:fill="auto"/>
          </w:tcPr>
          <w:p w14:paraId="21BC0E07" w14:textId="77777777" w:rsidR="00FB64C0" w:rsidRPr="009A1BE7" w:rsidRDefault="00FB64C0" w:rsidP="00FD7872">
            <w:pPr>
              <w:rPr>
                <w:sz w:val="20"/>
              </w:rPr>
            </w:pPr>
            <w:r w:rsidRPr="009A1BE7">
              <w:rPr>
                <w:sz w:val="20"/>
              </w:rPr>
              <w:t>Measurement unit</w:t>
            </w:r>
          </w:p>
        </w:tc>
        <w:tc>
          <w:tcPr>
            <w:tcW w:w="7447" w:type="dxa"/>
            <w:shd w:val="clear" w:color="auto" w:fill="auto"/>
          </w:tcPr>
          <w:p w14:paraId="4672DCD6" w14:textId="77777777" w:rsidR="00FB64C0" w:rsidRPr="009A1BE7" w:rsidRDefault="00FB64C0" w:rsidP="00FD7872">
            <w:pPr>
              <w:rPr>
                <w:sz w:val="20"/>
              </w:rPr>
            </w:pPr>
            <w:r w:rsidRPr="009A1BE7">
              <w:rPr>
                <w:sz w:val="20"/>
              </w:rPr>
              <w:t>Annual Full Time Equivalent</w:t>
            </w:r>
          </w:p>
        </w:tc>
      </w:tr>
      <w:tr w:rsidR="00D0748F" w:rsidRPr="00255291" w14:paraId="61921C3C" w14:textId="77777777" w:rsidTr="009A1BE7">
        <w:tc>
          <w:tcPr>
            <w:tcW w:w="2028" w:type="dxa"/>
            <w:shd w:val="clear" w:color="auto" w:fill="auto"/>
          </w:tcPr>
          <w:p w14:paraId="7ED156D3" w14:textId="6CD37ADC" w:rsidR="00D0748F" w:rsidRPr="009A1BE7" w:rsidRDefault="00D0748F" w:rsidP="00FD7872">
            <w:pPr>
              <w:rPr>
                <w:sz w:val="20"/>
              </w:rPr>
            </w:pPr>
            <w:r w:rsidRPr="009A1BE7">
              <w:rPr>
                <w:sz w:val="20"/>
              </w:rPr>
              <w:t>Type of indicator</w:t>
            </w:r>
          </w:p>
        </w:tc>
        <w:tc>
          <w:tcPr>
            <w:tcW w:w="7447" w:type="dxa"/>
            <w:shd w:val="clear" w:color="auto" w:fill="auto"/>
          </w:tcPr>
          <w:p w14:paraId="3FFCD55D" w14:textId="18390432" w:rsidR="00D0748F" w:rsidRPr="009A1BE7" w:rsidRDefault="00D0748F" w:rsidP="00FD7872">
            <w:pPr>
              <w:rPr>
                <w:sz w:val="20"/>
              </w:rPr>
            </w:pPr>
            <w:r w:rsidRPr="009A1BE7">
              <w:rPr>
                <w:sz w:val="20"/>
              </w:rPr>
              <w:t>Flow</w:t>
            </w:r>
          </w:p>
        </w:tc>
      </w:tr>
      <w:tr w:rsidR="00115267" w:rsidRPr="00255291" w14:paraId="6E7D9A5B" w14:textId="77777777" w:rsidTr="009A1BE7">
        <w:tc>
          <w:tcPr>
            <w:tcW w:w="2028" w:type="dxa"/>
            <w:shd w:val="clear" w:color="auto" w:fill="auto"/>
          </w:tcPr>
          <w:p w14:paraId="67C2EBD9" w14:textId="77777777" w:rsidR="00115267" w:rsidRPr="009A1BE7" w:rsidRDefault="00115267" w:rsidP="00FD7872">
            <w:pPr>
              <w:rPr>
                <w:sz w:val="20"/>
              </w:rPr>
            </w:pPr>
            <w:r w:rsidRPr="009A1BE7">
              <w:rPr>
                <w:sz w:val="20"/>
              </w:rPr>
              <w:t>Baseline</w:t>
            </w:r>
          </w:p>
        </w:tc>
        <w:tc>
          <w:tcPr>
            <w:tcW w:w="7447" w:type="dxa"/>
            <w:shd w:val="clear" w:color="auto" w:fill="auto"/>
          </w:tcPr>
          <w:p w14:paraId="3BDED426" w14:textId="5C18A7B0" w:rsidR="00115267" w:rsidRPr="009A1BE7" w:rsidRDefault="00573CF4">
            <w:pPr>
              <w:rPr>
                <w:sz w:val="20"/>
              </w:rPr>
            </w:pPr>
            <w:r w:rsidRPr="009A1BE7">
              <w:rPr>
                <w:sz w:val="20"/>
              </w:rPr>
              <w:t xml:space="preserve"> 0, reset </w:t>
            </w:r>
            <w:r w:rsidR="00B871C4" w:rsidRPr="009A1BE7">
              <w:rPr>
                <w:sz w:val="20"/>
              </w:rPr>
              <w:t xml:space="preserve">every </w:t>
            </w:r>
            <w:r w:rsidRPr="009A1BE7">
              <w:rPr>
                <w:sz w:val="20"/>
              </w:rPr>
              <w:t>reporting rounds</w:t>
            </w:r>
          </w:p>
        </w:tc>
      </w:tr>
      <w:tr w:rsidR="00FB64C0" w:rsidRPr="00255291" w14:paraId="0F7C9EB1" w14:textId="77777777" w:rsidTr="009A1BE7">
        <w:tc>
          <w:tcPr>
            <w:tcW w:w="2028" w:type="dxa"/>
            <w:shd w:val="clear" w:color="auto" w:fill="auto"/>
          </w:tcPr>
          <w:p w14:paraId="63978C1E" w14:textId="77777777" w:rsidR="00FB64C0" w:rsidRPr="009A1BE7" w:rsidRDefault="00FB64C0" w:rsidP="00FD7872">
            <w:pPr>
              <w:rPr>
                <w:sz w:val="20"/>
              </w:rPr>
            </w:pPr>
            <w:r w:rsidRPr="009A1BE7">
              <w:rPr>
                <w:sz w:val="20"/>
              </w:rPr>
              <w:t>RRF Pillars</w:t>
            </w:r>
          </w:p>
        </w:tc>
        <w:tc>
          <w:tcPr>
            <w:tcW w:w="7447" w:type="dxa"/>
            <w:shd w:val="clear" w:color="auto" w:fill="auto"/>
          </w:tcPr>
          <w:p w14:paraId="47E74CDD" w14:textId="77777777" w:rsidR="00FB64C0" w:rsidRPr="009A1BE7" w:rsidRDefault="00FB64C0" w:rsidP="00FD7872">
            <w:pPr>
              <w:rPr>
                <w:sz w:val="20"/>
              </w:rPr>
            </w:pPr>
            <w:r w:rsidRPr="009A1BE7">
              <w:rPr>
                <w:sz w:val="20"/>
              </w:rPr>
              <w:t>Pillar 3 Smart, sustainable and inclusive growth, including economic cohesion, jobs, productivity, competitiveness, research, development and innovation, and a well-functioning internal market with strong SMEs</w:t>
            </w:r>
          </w:p>
        </w:tc>
      </w:tr>
      <w:tr w:rsidR="00FB64C0" w:rsidRPr="00255291" w14:paraId="18807231" w14:textId="77777777" w:rsidTr="009A1BE7">
        <w:tc>
          <w:tcPr>
            <w:tcW w:w="2028" w:type="dxa"/>
            <w:shd w:val="clear" w:color="auto" w:fill="auto"/>
          </w:tcPr>
          <w:p w14:paraId="3AE0AF10" w14:textId="77777777" w:rsidR="00FB64C0" w:rsidRPr="009A1BE7" w:rsidRDefault="00FB64C0" w:rsidP="00FD7872">
            <w:pPr>
              <w:rPr>
                <w:sz w:val="20"/>
              </w:rPr>
            </w:pPr>
            <w:r w:rsidRPr="009A1BE7">
              <w:rPr>
                <w:sz w:val="20"/>
              </w:rPr>
              <w:t>Definition and concept</w:t>
            </w:r>
          </w:p>
        </w:tc>
        <w:tc>
          <w:tcPr>
            <w:tcW w:w="7447" w:type="dxa"/>
            <w:shd w:val="clear" w:color="auto" w:fill="auto"/>
          </w:tcPr>
          <w:p w14:paraId="58A8CC95" w14:textId="77777777" w:rsidR="00FB64C0" w:rsidRPr="009A1BE7" w:rsidRDefault="00FB64C0" w:rsidP="00FD7872">
            <w:pPr>
              <w:rPr>
                <w:sz w:val="20"/>
              </w:rPr>
            </w:pPr>
            <w:r w:rsidRPr="009A1BE7">
              <w:rPr>
                <w:sz w:val="20"/>
              </w:rPr>
              <w:t xml:space="preserve">Number of researchers using directly, in their line of activity, the public or private research facility or the equipment for which support by measures under the Facility is awarded. The indicator shall be measured in terms of annual full time equivalents (FTEs), calculated according to the methodology provided in the OECD Frascati Manual 2015. </w:t>
            </w:r>
          </w:p>
          <w:p w14:paraId="5EBD4CD0" w14:textId="77777777" w:rsidR="00FB64C0" w:rsidRPr="009A1BE7" w:rsidRDefault="00FB64C0" w:rsidP="00FD7872">
            <w:pPr>
              <w:rPr>
                <w:sz w:val="20"/>
              </w:rPr>
            </w:pPr>
            <w:r w:rsidRPr="009A1BE7">
              <w:rPr>
                <w:sz w:val="20"/>
              </w:rPr>
              <w:t xml:space="preserve">The support must improve the research facility or the quality of research equipment. Replacements without quality increase shall be excluded, as is maintenance. </w:t>
            </w:r>
          </w:p>
          <w:p w14:paraId="26655527" w14:textId="398B30DE" w:rsidR="00573CF4" w:rsidRPr="009A1BE7" w:rsidRDefault="00FB64C0" w:rsidP="00FD7872">
            <w:pPr>
              <w:rPr>
                <w:sz w:val="20"/>
              </w:rPr>
            </w:pPr>
            <w:r w:rsidRPr="009A1BE7">
              <w:rPr>
                <w:sz w:val="20"/>
              </w:rPr>
              <w:t xml:space="preserve">Annual FTE of R&amp;D personnel shall be defined as the ratio of working hours actually spent on R&amp;D during a calendar year divided by the total number of hours conventionally worked in the same period by an individual or a group. </w:t>
            </w:r>
            <w:r w:rsidR="00306D53" w:rsidRPr="009A1BE7">
              <w:rPr>
                <w:sz w:val="20"/>
              </w:rPr>
              <w:t>Therefore, every reporting period Member States should compute the number of hours researchers spent working in the supported facility/using the supported equipment and divide this number by the total number of hours conventionally worked in the same period.</w:t>
            </w:r>
          </w:p>
        </w:tc>
      </w:tr>
      <w:tr w:rsidR="00FB64C0" w:rsidRPr="00255291" w14:paraId="1681A5B7" w14:textId="77777777" w:rsidTr="009A1BE7">
        <w:tc>
          <w:tcPr>
            <w:tcW w:w="2028" w:type="dxa"/>
          </w:tcPr>
          <w:p w14:paraId="12A97E0C" w14:textId="6950DD49" w:rsidR="00FB64C0" w:rsidRPr="009A1BE7" w:rsidRDefault="00FB64C0" w:rsidP="00FD7872">
            <w:pPr>
              <w:rPr>
                <w:sz w:val="20"/>
              </w:rPr>
            </w:pPr>
            <w:r w:rsidRPr="009A1BE7">
              <w:rPr>
                <w:sz w:val="20"/>
              </w:rPr>
              <w:t>Time measurement</w:t>
            </w:r>
          </w:p>
        </w:tc>
        <w:tc>
          <w:tcPr>
            <w:tcW w:w="7447" w:type="dxa"/>
          </w:tcPr>
          <w:p w14:paraId="619E71D3" w14:textId="52B6AAA3" w:rsidR="00FB64C0" w:rsidRPr="009A1BE7" w:rsidRDefault="001A44B5">
            <w:pPr>
              <w:rPr>
                <w:sz w:val="20"/>
              </w:rPr>
            </w:pPr>
            <w:r w:rsidRPr="009A1BE7">
              <w:rPr>
                <w:sz w:val="20"/>
              </w:rPr>
              <w:t>Researchers (FTE) shall be counted upon the date the</w:t>
            </w:r>
            <w:r w:rsidR="00DA629F" w:rsidRPr="009A1BE7">
              <w:rPr>
                <w:sz w:val="20"/>
              </w:rPr>
              <w:t>ir facility or equipment</w:t>
            </w:r>
            <w:r w:rsidRPr="009A1BE7">
              <w:rPr>
                <w:sz w:val="20"/>
              </w:rPr>
              <w:t xml:space="preserve"> receive</w:t>
            </w:r>
            <w:r w:rsidR="00DA629F" w:rsidRPr="009A1BE7">
              <w:rPr>
                <w:sz w:val="20"/>
              </w:rPr>
              <w:t>s</w:t>
            </w:r>
            <w:r w:rsidRPr="009A1BE7">
              <w:rPr>
                <w:sz w:val="20"/>
              </w:rPr>
              <w:t xml:space="preserve"> support by the measures under the Facility</w:t>
            </w:r>
            <w:r w:rsidR="0053610B" w:rsidRPr="009A1BE7">
              <w:rPr>
                <w:sz w:val="20"/>
              </w:rPr>
              <w:t xml:space="preserve"> </w:t>
            </w:r>
            <w:r w:rsidR="0053610B" w:rsidRPr="009A1BE7">
              <w:rPr>
                <w:sz w:val="20"/>
                <w:lang w:val="en-IE"/>
              </w:rPr>
              <w:t>(as defined in the general principles)</w:t>
            </w:r>
            <w:r w:rsidRPr="009A1BE7">
              <w:rPr>
                <w:sz w:val="20"/>
              </w:rPr>
              <w:t>.</w:t>
            </w:r>
            <w:r w:rsidR="009A6156" w:rsidRPr="009A1BE7">
              <w:rPr>
                <w:sz w:val="20"/>
              </w:rPr>
              <w:t xml:space="preserve"> </w:t>
            </w:r>
          </w:p>
        </w:tc>
      </w:tr>
      <w:tr w:rsidR="009A6156" w:rsidRPr="00255291" w14:paraId="27445558" w14:textId="77777777" w:rsidTr="009A1BE7">
        <w:tc>
          <w:tcPr>
            <w:tcW w:w="2028" w:type="dxa"/>
          </w:tcPr>
          <w:p w14:paraId="6A631F6E" w14:textId="3F5366F8" w:rsidR="009A6156" w:rsidRPr="009A1BE7" w:rsidRDefault="009A6156" w:rsidP="00FD7872">
            <w:pPr>
              <w:rPr>
                <w:sz w:val="20"/>
              </w:rPr>
            </w:pPr>
            <w:r w:rsidRPr="009A1BE7">
              <w:rPr>
                <w:sz w:val="20"/>
              </w:rPr>
              <w:t>Counting methodology</w:t>
            </w:r>
          </w:p>
        </w:tc>
        <w:tc>
          <w:tcPr>
            <w:tcW w:w="7447" w:type="dxa"/>
          </w:tcPr>
          <w:p w14:paraId="34D93E9A" w14:textId="77777777" w:rsidR="009A6156" w:rsidRPr="009A1BE7" w:rsidRDefault="009A6156" w:rsidP="009A6156">
            <w:pPr>
              <w:rPr>
                <w:sz w:val="20"/>
              </w:rPr>
            </w:pPr>
            <w:r w:rsidRPr="009A1BE7">
              <w:rPr>
                <w:sz w:val="20"/>
              </w:rPr>
              <w:t xml:space="preserve">The R&amp;D vacant positions shall not be counted, neither support staff for R&amp;D (i.e. posts not directly involved in R&amp;D activities). </w:t>
            </w:r>
          </w:p>
          <w:p w14:paraId="51759030" w14:textId="5E4CE124" w:rsidR="009A6156" w:rsidRPr="009A1BE7" w:rsidRDefault="009A6156" w:rsidP="00FD7872">
            <w:pPr>
              <w:rPr>
                <w:sz w:val="20"/>
              </w:rPr>
            </w:pPr>
            <w:r w:rsidRPr="009A1BE7">
              <w:rPr>
                <w:sz w:val="20"/>
              </w:rPr>
              <w:t>By convention a person cannot perform more than one FTE on R&amp;D on a biannual basis. The number of hours conventionally worked shall be determined on the basis of normative/statutory working hours. A full time person shall be identified with reference to their employment status, the type of contract (full time or part time) and their level of engagement in R&amp;D (see OECD Frascati Manual 2015, Chapter 5.3).</w:t>
            </w:r>
          </w:p>
          <w:p w14:paraId="77B9A037" w14:textId="5353D094" w:rsidR="009A6156" w:rsidRPr="009A1BE7" w:rsidRDefault="009A6156" w:rsidP="00FD7872">
            <w:pPr>
              <w:rPr>
                <w:sz w:val="20"/>
              </w:rPr>
            </w:pPr>
            <w:r w:rsidRPr="009A1BE7">
              <w:rPr>
                <w:sz w:val="20"/>
              </w:rPr>
              <w:t xml:space="preserve">One research post (FTE) can only be counted once per reporting period. A researcher (FTE) occupying a post with a multiple year contract should be counted once per reporting period.  </w:t>
            </w:r>
          </w:p>
        </w:tc>
      </w:tr>
      <w:tr w:rsidR="00FB64C0" w:rsidRPr="00255291" w14:paraId="7007FE3F" w14:textId="77777777" w:rsidTr="009A1BE7">
        <w:tc>
          <w:tcPr>
            <w:tcW w:w="2028" w:type="dxa"/>
          </w:tcPr>
          <w:p w14:paraId="06BF0CD7" w14:textId="77777777" w:rsidR="00FB64C0" w:rsidRPr="009A1BE7" w:rsidRDefault="00FB64C0" w:rsidP="00FD7872">
            <w:pPr>
              <w:rPr>
                <w:sz w:val="20"/>
              </w:rPr>
            </w:pPr>
            <w:r w:rsidRPr="009A1BE7">
              <w:rPr>
                <w:sz w:val="20"/>
              </w:rPr>
              <w:t xml:space="preserve">Disaggregation </w:t>
            </w:r>
          </w:p>
        </w:tc>
        <w:tc>
          <w:tcPr>
            <w:tcW w:w="7447" w:type="dxa"/>
          </w:tcPr>
          <w:p w14:paraId="6A5C3FC9" w14:textId="77777777" w:rsidR="00FB64C0" w:rsidRPr="009A1BE7" w:rsidRDefault="00034E68" w:rsidP="00034E68">
            <w:pPr>
              <w:rPr>
                <w:sz w:val="20"/>
              </w:rPr>
            </w:pPr>
            <w:r w:rsidRPr="009A1BE7">
              <w:rPr>
                <w:sz w:val="20"/>
              </w:rPr>
              <w:t xml:space="preserve">It shall be disaggregated by </w:t>
            </w:r>
            <w:r w:rsidR="00FB64C0" w:rsidRPr="009A1BE7">
              <w:rPr>
                <w:sz w:val="20"/>
              </w:rPr>
              <w:t>gender.</w:t>
            </w:r>
          </w:p>
        </w:tc>
      </w:tr>
      <w:tr w:rsidR="00FB64C0" w:rsidRPr="00255291" w14:paraId="1A4313EA" w14:textId="77777777" w:rsidTr="009A1BE7">
        <w:tc>
          <w:tcPr>
            <w:tcW w:w="2028" w:type="dxa"/>
          </w:tcPr>
          <w:p w14:paraId="7DB1BD3B" w14:textId="77777777" w:rsidR="00FB64C0" w:rsidRPr="009A1BE7" w:rsidRDefault="00FB64C0" w:rsidP="00FD7872">
            <w:pPr>
              <w:rPr>
                <w:sz w:val="20"/>
              </w:rPr>
            </w:pPr>
            <w:r w:rsidRPr="009A1BE7">
              <w:rPr>
                <w:sz w:val="20"/>
              </w:rPr>
              <w:t xml:space="preserve">References </w:t>
            </w:r>
          </w:p>
        </w:tc>
        <w:tc>
          <w:tcPr>
            <w:tcW w:w="7447" w:type="dxa"/>
          </w:tcPr>
          <w:p w14:paraId="26B57480" w14:textId="702A4BBF" w:rsidR="00FB64C0" w:rsidRPr="009A1BE7" w:rsidRDefault="00FB64C0" w:rsidP="00FD7872">
            <w:pPr>
              <w:rPr>
                <w:sz w:val="20"/>
              </w:rPr>
            </w:pPr>
            <w:r w:rsidRPr="009A1BE7">
              <w:rPr>
                <w:sz w:val="20"/>
              </w:rPr>
              <w:t xml:space="preserve"> </w:t>
            </w:r>
            <w:r w:rsidR="00D434C2" w:rsidRPr="009A1BE7">
              <w:rPr>
                <w:sz w:val="20"/>
              </w:rPr>
              <w:t>OECD Frascati Manual 2015 for calculating Annual Full Time Equivalent</w:t>
            </w:r>
          </w:p>
        </w:tc>
      </w:tr>
      <w:tr w:rsidR="00FB64C0" w:rsidRPr="00255291" w14:paraId="40A7EF33" w14:textId="77777777" w:rsidTr="009A1BE7">
        <w:tc>
          <w:tcPr>
            <w:tcW w:w="2028" w:type="dxa"/>
          </w:tcPr>
          <w:p w14:paraId="1A5FC171" w14:textId="77777777" w:rsidR="00FB64C0" w:rsidRPr="009A1BE7" w:rsidRDefault="00FB64C0" w:rsidP="00FD7872">
            <w:pPr>
              <w:rPr>
                <w:sz w:val="20"/>
              </w:rPr>
            </w:pPr>
            <w:r w:rsidRPr="009A1BE7">
              <w:rPr>
                <w:sz w:val="20"/>
              </w:rPr>
              <w:t>Corresponding Structural Funds indicator(s)</w:t>
            </w:r>
          </w:p>
        </w:tc>
        <w:tc>
          <w:tcPr>
            <w:tcW w:w="7447" w:type="dxa"/>
          </w:tcPr>
          <w:p w14:paraId="668CBFD3" w14:textId="77777777" w:rsidR="00FB64C0" w:rsidRPr="009A1BE7" w:rsidRDefault="00FB64C0" w:rsidP="00FD7872">
            <w:pPr>
              <w:rPr>
                <w:sz w:val="20"/>
              </w:rPr>
            </w:pPr>
            <w:r w:rsidRPr="009A1BE7">
              <w:rPr>
                <w:sz w:val="20"/>
              </w:rPr>
              <w:t>RCO06 Researchers working in supported research facilities</w:t>
            </w:r>
          </w:p>
        </w:tc>
      </w:tr>
    </w:tbl>
    <w:p w14:paraId="4B5C4F94" w14:textId="22A5C14F" w:rsidR="001550EF" w:rsidRPr="00255291" w:rsidRDefault="001550EF" w:rsidP="00FB64C0"/>
    <w:p w14:paraId="712F5A63" w14:textId="06EF71DF" w:rsidR="00FB64C0" w:rsidRDefault="00FB64C0" w:rsidP="001F5716">
      <w:pPr>
        <w:pStyle w:val="Heading2"/>
        <w:numPr>
          <w:ilvl w:val="1"/>
          <w:numId w:val="43"/>
        </w:numPr>
        <w:rPr>
          <w:rFonts w:ascii="Times New Roman" w:hAnsi="Times New Roman" w:cs="Times New Roman"/>
          <w:b/>
          <w:color w:val="auto"/>
        </w:rPr>
      </w:pPr>
      <w:bookmarkStart w:id="17" w:name="_Toc93393184"/>
      <w:r w:rsidRPr="00255291">
        <w:rPr>
          <w:rFonts w:ascii="Times New Roman" w:hAnsi="Times New Roman" w:cs="Times New Roman"/>
          <w:b/>
          <w:color w:val="auto"/>
        </w:rPr>
        <w:lastRenderedPageBreak/>
        <w:t>Enterprises supported (of which small – including micro, medium, large)</w:t>
      </w:r>
      <w:bookmarkEnd w:id="17"/>
    </w:p>
    <w:p w14:paraId="0443CB0A" w14:textId="77777777" w:rsidR="001F5716" w:rsidRPr="001F5716" w:rsidRDefault="001F5716" w:rsidP="001F5716"/>
    <w:tbl>
      <w:tblPr>
        <w:tblStyle w:val="TableGrid"/>
        <w:tblW w:w="9475" w:type="dxa"/>
        <w:tblLook w:val="04A0" w:firstRow="1" w:lastRow="0" w:firstColumn="1" w:lastColumn="0" w:noHBand="0" w:noVBand="1"/>
      </w:tblPr>
      <w:tblGrid>
        <w:gridCol w:w="2028"/>
        <w:gridCol w:w="7447"/>
      </w:tblGrid>
      <w:tr w:rsidR="00FB64C0" w:rsidRPr="00255291" w14:paraId="415AFFEA" w14:textId="77777777" w:rsidTr="009A1BE7">
        <w:tc>
          <w:tcPr>
            <w:tcW w:w="2028" w:type="dxa"/>
          </w:tcPr>
          <w:p w14:paraId="40AB749C" w14:textId="77777777" w:rsidR="00FB64C0" w:rsidRPr="009A1BE7" w:rsidRDefault="00FB64C0" w:rsidP="00FD7872">
            <w:pPr>
              <w:rPr>
                <w:sz w:val="20"/>
              </w:rPr>
            </w:pPr>
            <w:r w:rsidRPr="009A1BE7">
              <w:rPr>
                <w:sz w:val="20"/>
              </w:rPr>
              <w:t>Indicator code</w:t>
            </w:r>
          </w:p>
        </w:tc>
        <w:tc>
          <w:tcPr>
            <w:tcW w:w="7447" w:type="dxa"/>
          </w:tcPr>
          <w:p w14:paraId="0CA56D33" w14:textId="77777777" w:rsidR="00FB64C0" w:rsidRPr="009A1BE7" w:rsidRDefault="00FB64C0" w:rsidP="00FD7872">
            <w:pPr>
              <w:rPr>
                <w:sz w:val="20"/>
              </w:rPr>
            </w:pPr>
            <w:r w:rsidRPr="009A1BE7">
              <w:rPr>
                <w:sz w:val="20"/>
              </w:rPr>
              <w:t>RRFCI09</w:t>
            </w:r>
          </w:p>
        </w:tc>
      </w:tr>
      <w:tr w:rsidR="00FB64C0" w:rsidRPr="00255291" w14:paraId="696210F8" w14:textId="77777777" w:rsidTr="009A1BE7">
        <w:tc>
          <w:tcPr>
            <w:tcW w:w="2028" w:type="dxa"/>
            <w:shd w:val="clear" w:color="auto" w:fill="auto"/>
          </w:tcPr>
          <w:p w14:paraId="5B188B4C" w14:textId="77777777" w:rsidR="00FB64C0" w:rsidRPr="009A1BE7" w:rsidRDefault="00FB64C0" w:rsidP="00FD7872">
            <w:pPr>
              <w:rPr>
                <w:sz w:val="20"/>
              </w:rPr>
            </w:pPr>
            <w:r w:rsidRPr="009A1BE7">
              <w:rPr>
                <w:sz w:val="20"/>
              </w:rPr>
              <w:t>Indicator name</w:t>
            </w:r>
          </w:p>
        </w:tc>
        <w:tc>
          <w:tcPr>
            <w:tcW w:w="7447" w:type="dxa"/>
            <w:shd w:val="clear" w:color="auto" w:fill="auto"/>
          </w:tcPr>
          <w:p w14:paraId="57A4D3E6" w14:textId="77777777" w:rsidR="00FB64C0" w:rsidRPr="009A1BE7" w:rsidRDefault="00FB64C0" w:rsidP="00FD7872">
            <w:pPr>
              <w:rPr>
                <w:sz w:val="20"/>
              </w:rPr>
            </w:pPr>
            <w:r w:rsidRPr="009A1BE7">
              <w:rPr>
                <w:sz w:val="20"/>
              </w:rPr>
              <w:t>Enterprises supported (of which small – including micro,</w:t>
            </w:r>
            <w:r w:rsidR="74602193" w:rsidRPr="009A1BE7">
              <w:rPr>
                <w:sz w:val="20"/>
              </w:rPr>
              <w:t xml:space="preserve"> </w:t>
            </w:r>
            <w:r w:rsidRPr="009A1BE7">
              <w:rPr>
                <w:sz w:val="20"/>
              </w:rPr>
              <w:t>medium, large)</w:t>
            </w:r>
          </w:p>
        </w:tc>
      </w:tr>
      <w:tr w:rsidR="00FB64C0" w:rsidRPr="00255291" w14:paraId="202BC028" w14:textId="77777777" w:rsidTr="009A1BE7">
        <w:tc>
          <w:tcPr>
            <w:tcW w:w="2028" w:type="dxa"/>
            <w:shd w:val="clear" w:color="auto" w:fill="auto"/>
          </w:tcPr>
          <w:p w14:paraId="7231E1F1" w14:textId="77777777" w:rsidR="00FB64C0" w:rsidRPr="009A1BE7" w:rsidRDefault="00FB64C0" w:rsidP="00FD7872">
            <w:pPr>
              <w:rPr>
                <w:sz w:val="20"/>
              </w:rPr>
            </w:pPr>
            <w:r w:rsidRPr="009A1BE7">
              <w:rPr>
                <w:sz w:val="20"/>
              </w:rPr>
              <w:t>Measurement unit</w:t>
            </w:r>
          </w:p>
        </w:tc>
        <w:tc>
          <w:tcPr>
            <w:tcW w:w="7447" w:type="dxa"/>
            <w:shd w:val="clear" w:color="auto" w:fill="auto"/>
          </w:tcPr>
          <w:p w14:paraId="7EB5D14F" w14:textId="77777777" w:rsidR="00FB64C0" w:rsidRPr="009A1BE7" w:rsidRDefault="00FB64C0" w:rsidP="00FD7872">
            <w:pPr>
              <w:rPr>
                <w:sz w:val="20"/>
              </w:rPr>
            </w:pPr>
            <w:r w:rsidRPr="009A1BE7">
              <w:rPr>
                <w:sz w:val="20"/>
              </w:rPr>
              <w:t>Enterprises</w:t>
            </w:r>
          </w:p>
        </w:tc>
      </w:tr>
      <w:tr w:rsidR="00D0748F" w:rsidRPr="00255291" w14:paraId="6C9EECF9" w14:textId="77777777" w:rsidTr="009A1BE7">
        <w:tc>
          <w:tcPr>
            <w:tcW w:w="2028" w:type="dxa"/>
            <w:shd w:val="clear" w:color="auto" w:fill="auto"/>
          </w:tcPr>
          <w:p w14:paraId="7B9CC339" w14:textId="652F8143" w:rsidR="00D0748F" w:rsidRPr="009A1BE7" w:rsidRDefault="00D0748F" w:rsidP="00FD7872">
            <w:pPr>
              <w:rPr>
                <w:sz w:val="20"/>
              </w:rPr>
            </w:pPr>
            <w:r w:rsidRPr="009A1BE7">
              <w:rPr>
                <w:sz w:val="20"/>
              </w:rPr>
              <w:t>Type of indicator</w:t>
            </w:r>
          </w:p>
        </w:tc>
        <w:tc>
          <w:tcPr>
            <w:tcW w:w="7447" w:type="dxa"/>
            <w:shd w:val="clear" w:color="auto" w:fill="auto"/>
          </w:tcPr>
          <w:p w14:paraId="47FA691A" w14:textId="29C981F2" w:rsidR="00D0748F" w:rsidRPr="009A1BE7" w:rsidRDefault="00D0748F" w:rsidP="00FD7872">
            <w:pPr>
              <w:rPr>
                <w:sz w:val="20"/>
              </w:rPr>
            </w:pPr>
            <w:r w:rsidRPr="009A1BE7">
              <w:rPr>
                <w:sz w:val="20"/>
              </w:rPr>
              <w:t>Flow</w:t>
            </w:r>
          </w:p>
        </w:tc>
      </w:tr>
      <w:tr w:rsidR="007F2094" w:rsidRPr="00255291" w14:paraId="50236F0A" w14:textId="77777777" w:rsidTr="009A1BE7">
        <w:tc>
          <w:tcPr>
            <w:tcW w:w="2028" w:type="dxa"/>
            <w:shd w:val="clear" w:color="auto" w:fill="auto"/>
          </w:tcPr>
          <w:p w14:paraId="49778D21" w14:textId="77777777" w:rsidR="007F2094" w:rsidRPr="009A1BE7" w:rsidRDefault="007F2094" w:rsidP="00FD7872">
            <w:pPr>
              <w:rPr>
                <w:sz w:val="20"/>
              </w:rPr>
            </w:pPr>
            <w:r w:rsidRPr="009A1BE7">
              <w:rPr>
                <w:sz w:val="20"/>
              </w:rPr>
              <w:t>Baseline</w:t>
            </w:r>
          </w:p>
        </w:tc>
        <w:tc>
          <w:tcPr>
            <w:tcW w:w="7447" w:type="dxa"/>
            <w:shd w:val="clear" w:color="auto" w:fill="auto"/>
          </w:tcPr>
          <w:p w14:paraId="3CD846DD" w14:textId="70AAC7DC" w:rsidR="007F2094" w:rsidRPr="009A1BE7" w:rsidRDefault="0016562F">
            <w:pPr>
              <w:rPr>
                <w:sz w:val="20"/>
                <w:highlight w:val="green"/>
              </w:rPr>
            </w:pPr>
            <w:r w:rsidRPr="009A1BE7">
              <w:rPr>
                <w:sz w:val="20"/>
              </w:rPr>
              <w:t xml:space="preserve"> 0, reset every reporting round</w:t>
            </w:r>
          </w:p>
        </w:tc>
      </w:tr>
      <w:tr w:rsidR="00FB64C0" w:rsidRPr="00255291" w14:paraId="4380825B" w14:textId="77777777" w:rsidTr="009A1BE7">
        <w:tc>
          <w:tcPr>
            <w:tcW w:w="2028" w:type="dxa"/>
            <w:shd w:val="clear" w:color="auto" w:fill="auto"/>
          </w:tcPr>
          <w:p w14:paraId="7A67BBE7" w14:textId="77777777" w:rsidR="00FB64C0" w:rsidRPr="009A1BE7" w:rsidRDefault="00FB64C0" w:rsidP="00FD7872">
            <w:pPr>
              <w:rPr>
                <w:sz w:val="20"/>
              </w:rPr>
            </w:pPr>
            <w:r w:rsidRPr="009A1BE7">
              <w:rPr>
                <w:sz w:val="20"/>
              </w:rPr>
              <w:t>RRF Pillars</w:t>
            </w:r>
          </w:p>
        </w:tc>
        <w:tc>
          <w:tcPr>
            <w:tcW w:w="7447" w:type="dxa"/>
            <w:shd w:val="clear" w:color="auto" w:fill="auto"/>
          </w:tcPr>
          <w:p w14:paraId="78A094FC" w14:textId="77777777" w:rsidR="00FB64C0" w:rsidRPr="009A1BE7" w:rsidRDefault="00FB64C0" w:rsidP="00FD7872">
            <w:pPr>
              <w:rPr>
                <w:sz w:val="20"/>
              </w:rPr>
            </w:pPr>
            <w:r w:rsidRPr="009A1BE7">
              <w:rPr>
                <w:sz w:val="20"/>
              </w:rPr>
              <w:t>Pillar 3 Smart, sustainable and inclusive growth, including economic cohesion, jobs, productivity, competitiveness, research, development and innovation, and a well-functioning internal market with strong SMEs</w:t>
            </w:r>
          </w:p>
        </w:tc>
      </w:tr>
      <w:tr w:rsidR="00FB64C0" w:rsidRPr="00255291" w14:paraId="70F12015" w14:textId="77777777" w:rsidTr="009A1BE7">
        <w:tc>
          <w:tcPr>
            <w:tcW w:w="2028" w:type="dxa"/>
            <w:shd w:val="clear" w:color="auto" w:fill="auto"/>
          </w:tcPr>
          <w:p w14:paraId="3415ABCF" w14:textId="77777777" w:rsidR="00FB64C0" w:rsidRPr="009A1BE7" w:rsidRDefault="00FB64C0" w:rsidP="00FD7872">
            <w:pPr>
              <w:rPr>
                <w:sz w:val="20"/>
              </w:rPr>
            </w:pPr>
            <w:r w:rsidRPr="009A1BE7">
              <w:rPr>
                <w:sz w:val="20"/>
              </w:rPr>
              <w:t>Definition and concept</w:t>
            </w:r>
          </w:p>
        </w:tc>
        <w:tc>
          <w:tcPr>
            <w:tcW w:w="7447" w:type="dxa"/>
            <w:shd w:val="clear" w:color="auto" w:fill="auto"/>
          </w:tcPr>
          <w:p w14:paraId="75CDBDA3" w14:textId="1056575B" w:rsidR="00A6222F" w:rsidRPr="009A1BE7" w:rsidRDefault="00FB64C0" w:rsidP="00FD7872">
            <w:pPr>
              <w:rPr>
                <w:sz w:val="20"/>
                <w:lang w:val="en-IE"/>
              </w:rPr>
            </w:pPr>
            <w:r w:rsidRPr="009A1BE7">
              <w:rPr>
                <w:sz w:val="20"/>
              </w:rPr>
              <w:t>The indicator shall count all enterprises that receive monetary or in-kind support by measures under the Facility</w:t>
            </w:r>
            <w:r w:rsidR="0053610B" w:rsidRPr="009A1BE7">
              <w:rPr>
                <w:sz w:val="20"/>
              </w:rPr>
              <w:t xml:space="preserve"> </w:t>
            </w:r>
            <w:r w:rsidR="0053610B" w:rsidRPr="009A1BE7">
              <w:rPr>
                <w:sz w:val="20"/>
                <w:lang w:val="en-IE"/>
              </w:rPr>
              <w:t>(as defined in the general principles).</w:t>
            </w:r>
          </w:p>
        </w:tc>
      </w:tr>
      <w:tr w:rsidR="00FB64C0" w:rsidRPr="00255291" w14:paraId="2562796B" w14:textId="77777777" w:rsidTr="009A1BE7">
        <w:tc>
          <w:tcPr>
            <w:tcW w:w="2028" w:type="dxa"/>
            <w:shd w:val="clear" w:color="auto" w:fill="auto"/>
          </w:tcPr>
          <w:p w14:paraId="6D68A7DC" w14:textId="77777777" w:rsidR="00FB64C0" w:rsidRPr="009A1BE7" w:rsidRDefault="00FB64C0" w:rsidP="00FD7872">
            <w:pPr>
              <w:rPr>
                <w:sz w:val="20"/>
              </w:rPr>
            </w:pPr>
            <w:r w:rsidRPr="009A1BE7">
              <w:rPr>
                <w:sz w:val="20"/>
              </w:rPr>
              <w:t>Time measurement</w:t>
            </w:r>
          </w:p>
        </w:tc>
        <w:tc>
          <w:tcPr>
            <w:tcW w:w="7447" w:type="dxa"/>
            <w:shd w:val="clear" w:color="auto" w:fill="auto"/>
          </w:tcPr>
          <w:p w14:paraId="0C0E8DCC" w14:textId="0E5D2219" w:rsidR="00FB64C0" w:rsidRPr="009A1BE7" w:rsidRDefault="001A44B5">
            <w:pPr>
              <w:rPr>
                <w:sz w:val="20"/>
                <w:lang w:val="en-IE"/>
              </w:rPr>
            </w:pPr>
            <w:r w:rsidRPr="009A1BE7">
              <w:rPr>
                <w:sz w:val="20"/>
                <w:lang w:val="en-IE"/>
              </w:rPr>
              <w:t>Enterprises shall be counted upon the date they receive support by the measures under the Facility</w:t>
            </w:r>
            <w:r w:rsidR="00AD23D8" w:rsidRPr="009A1BE7">
              <w:rPr>
                <w:sz w:val="20"/>
                <w:lang w:val="en-IE"/>
              </w:rPr>
              <w:t xml:space="preserve">. </w:t>
            </w:r>
          </w:p>
        </w:tc>
      </w:tr>
      <w:tr w:rsidR="00A35890" w:rsidRPr="00255291" w14:paraId="1D75AB49" w14:textId="77777777" w:rsidTr="009A1BE7">
        <w:tc>
          <w:tcPr>
            <w:tcW w:w="2028" w:type="dxa"/>
            <w:shd w:val="clear" w:color="auto" w:fill="auto"/>
          </w:tcPr>
          <w:p w14:paraId="7EF72DDF" w14:textId="23DD71C6" w:rsidR="00A35890" w:rsidRPr="009A1BE7" w:rsidRDefault="00A35890" w:rsidP="00FD7872">
            <w:pPr>
              <w:rPr>
                <w:sz w:val="20"/>
              </w:rPr>
            </w:pPr>
            <w:r w:rsidRPr="009A1BE7">
              <w:rPr>
                <w:sz w:val="20"/>
              </w:rPr>
              <w:t>Counting methodology</w:t>
            </w:r>
          </w:p>
        </w:tc>
        <w:tc>
          <w:tcPr>
            <w:tcW w:w="7447" w:type="dxa"/>
            <w:shd w:val="clear" w:color="auto" w:fill="auto"/>
          </w:tcPr>
          <w:p w14:paraId="2B07E4EA" w14:textId="77777777" w:rsidR="00A35890" w:rsidRPr="009A1BE7" w:rsidRDefault="00A35890" w:rsidP="00FE5A64">
            <w:pPr>
              <w:rPr>
                <w:sz w:val="20"/>
                <w:lang w:val="en-IE"/>
              </w:rPr>
            </w:pPr>
            <w:r w:rsidRPr="009A1BE7">
              <w:rPr>
                <w:sz w:val="20"/>
                <w:lang w:val="en-IE"/>
              </w:rPr>
              <w:t xml:space="preserve">An enterprise shall be counted per support scheme, even if it lasts several years. An enterprise supported under two </w:t>
            </w:r>
            <w:r w:rsidRPr="009A1BE7">
              <w:rPr>
                <w:i/>
                <w:sz w:val="20"/>
                <w:lang w:val="en-IE"/>
              </w:rPr>
              <w:t>different</w:t>
            </w:r>
            <w:r w:rsidRPr="009A1BE7">
              <w:rPr>
                <w:sz w:val="20"/>
                <w:lang w:val="en-IE"/>
              </w:rPr>
              <w:t xml:space="preserve"> support schemes should be counted twice – once per support scheme (as defined in the general principles).</w:t>
            </w:r>
          </w:p>
          <w:p w14:paraId="6BA7BFCA" w14:textId="6347FA08" w:rsidR="00A35890" w:rsidRPr="009A1BE7" w:rsidRDefault="00A35890" w:rsidP="00FE5A64">
            <w:pPr>
              <w:rPr>
                <w:sz w:val="20"/>
                <w:lang w:val="en-IE"/>
              </w:rPr>
            </w:pPr>
            <w:r w:rsidRPr="009A1BE7">
              <w:rPr>
                <w:sz w:val="20"/>
                <w:lang w:val="en-IE"/>
              </w:rPr>
              <w:t>It is understood that this indicator encompasses indicator 6. The number reported under this indicator should always exceed the one reporting under indicator 6.</w:t>
            </w:r>
          </w:p>
        </w:tc>
      </w:tr>
      <w:tr w:rsidR="00FB64C0" w:rsidRPr="00255291" w14:paraId="7E0F4689" w14:textId="77777777" w:rsidTr="009A1BE7">
        <w:tc>
          <w:tcPr>
            <w:tcW w:w="2028" w:type="dxa"/>
            <w:shd w:val="clear" w:color="auto" w:fill="auto"/>
          </w:tcPr>
          <w:p w14:paraId="4DD8BB16" w14:textId="77777777" w:rsidR="00FB64C0" w:rsidRPr="009A1BE7" w:rsidRDefault="00FB64C0" w:rsidP="00FD7872">
            <w:pPr>
              <w:rPr>
                <w:sz w:val="20"/>
              </w:rPr>
            </w:pPr>
            <w:r w:rsidRPr="009A1BE7">
              <w:rPr>
                <w:sz w:val="20"/>
              </w:rPr>
              <w:t xml:space="preserve">Disaggregation </w:t>
            </w:r>
          </w:p>
        </w:tc>
        <w:tc>
          <w:tcPr>
            <w:tcW w:w="7447" w:type="dxa"/>
            <w:shd w:val="clear" w:color="auto" w:fill="auto"/>
          </w:tcPr>
          <w:p w14:paraId="0E8E2432" w14:textId="77777777" w:rsidR="00FB64C0" w:rsidRPr="009A1BE7" w:rsidRDefault="00A910A0" w:rsidP="00A910A0">
            <w:pPr>
              <w:rPr>
                <w:sz w:val="20"/>
              </w:rPr>
            </w:pPr>
            <w:r w:rsidRPr="009A1BE7">
              <w:rPr>
                <w:sz w:val="20"/>
              </w:rPr>
              <w:t xml:space="preserve">It shall be disaggregated by </w:t>
            </w:r>
            <w:r w:rsidR="00FB64C0" w:rsidRPr="009A1BE7">
              <w:rPr>
                <w:sz w:val="20"/>
              </w:rPr>
              <w:t>size of enterprise.</w:t>
            </w:r>
          </w:p>
        </w:tc>
      </w:tr>
      <w:tr w:rsidR="00FB64C0" w:rsidRPr="00255291" w14:paraId="78A739FA" w14:textId="77777777" w:rsidTr="009A1BE7">
        <w:tc>
          <w:tcPr>
            <w:tcW w:w="2028" w:type="dxa"/>
            <w:shd w:val="clear" w:color="auto" w:fill="auto"/>
          </w:tcPr>
          <w:p w14:paraId="2B11F4B3" w14:textId="77777777" w:rsidR="00FB64C0" w:rsidRPr="009A1BE7" w:rsidRDefault="00FB64C0" w:rsidP="00FD7872">
            <w:pPr>
              <w:rPr>
                <w:sz w:val="20"/>
              </w:rPr>
            </w:pPr>
            <w:r w:rsidRPr="009A1BE7">
              <w:rPr>
                <w:sz w:val="20"/>
              </w:rPr>
              <w:t xml:space="preserve">References </w:t>
            </w:r>
          </w:p>
        </w:tc>
        <w:tc>
          <w:tcPr>
            <w:tcW w:w="7447" w:type="dxa"/>
            <w:shd w:val="clear" w:color="auto" w:fill="auto"/>
          </w:tcPr>
          <w:p w14:paraId="6AE5457A" w14:textId="7B2470D1" w:rsidR="00FB64C0" w:rsidRPr="009A1BE7" w:rsidRDefault="001A4B12" w:rsidP="00FD7872">
            <w:pPr>
              <w:rPr>
                <w:sz w:val="20"/>
              </w:rPr>
            </w:pPr>
            <w:r w:rsidRPr="009A1BE7">
              <w:rPr>
                <w:sz w:val="20"/>
              </w:rPr>
              <w:t>Definitions of enterprises and their size on the general principles of this guidance.</w:t>
            </w:r>
          </w:p>
        </w:tc>
      </w:tr>
      <w:tr w:rsidR="00FB64C0" w:rsidRPr="00255291" w14:paraId="70E47981" w14:textId="77777777" w:rsidTr="009A1BE7">
        <w:tc>
          <w:tcPr>
            <w:tcW w:w="2028" w:type="dxa"/>
            <w:shd w:val="clear" w:color="auto" w:fill="auto"/>
          </w:tcPr>
          <w:p w14:paraId="426811F3" w14:textId="77777777" w:rsidR="00FB64C0" w:rsidRPr="009A1BE7" w:rsidRDefault="00FB64C0" w:rsidP="00FD7872">
            <w:pPr>
              <w:rPr>
                <w:sz w:val="20"/>
              </w:rPr>
            </w:pPr>
            <w:r w:rsidRPr="009A1BE7">
              <w:rPr>
                <w:sz w:val="20"/>
              </w:rPr>
              <w:t>Corresponding Structural Funds indicator(s)</w:t>
            </w:r>
          </w:p>
        </w:tc>
        <w:tc>
          <w:tcPr>
            <w:tcW w:w="7447" w:type="dxa"/>
            <w:shd w:val="clear" w:color="auto" w:fill="auto"/>
          </w:tcPr>
          <w:p w14:paraId="2D8560EF" w14:textId="77777777" w:rsidR="00FB64C0" w:rsidRPr="009A1BE7" w:rsidRDefault="00FB64C0" w:rsidP="00FD7872">
            <w:pPr>
              <w:rPr>
                <w:sz w:val="20"/>
              </w:rPr>
            </w:pPr>
            <w:r w:rsidRPr="009A1BE7">
              <w:rPr>
                <w:sz w:val="20"/>
              </w:rPr>
              <w:t>RCO01 Enterprises supported (of which: micro, small, medium, large)</w:t>
            </w:r>
          </w:p>
        </w:tc>
      </w:tr>
    </w:tbl>
    <w:p w14:paraId="727B2711" w14:textId="596822D7" w:rsidR="00FB64C0" w:rsidRPr="00255291" w:rsidRDefault="00416921" w:rsidP="00FB64C0">
      <w:pPr>
        <w:rPr>
          <w:b/>
        </w:rPr>
      </w:pPr>
      <w:r w:rsidRPr="00255291">
        <w:rPr>
          <w:b/>
        </w:rPr>
        <w:br w:type="page"/>
      </w:r>
    </w:p>
    <w:p w14:paraId="557E3576" w14:textId="32DE1245" w:rsidR="00FB64C0" w:rsidRDefault="00FB64C0" w:rsidP="001F5716">
      <w:pPr>
        <w:pStyle w:val="Heading2"/>
        <w:numPr>
          <w:ilvl w:val="1"/>
          <w:numId w:val="43"/>
        </w:numPr>
        <w:rPr>
          <w:rFonts w:ascii="Times New Roman" w:hAnsi="Times New Roman" w:cs="Times New Roman"/>
          <w:b/>
          <w:color w:val="auto"/>
        </w:rPr>
      </w:pPr>
      <w:bookmarkStart w:id="18" w:name="_Toc93393185"/>
      <w:r w:rsidRPr="00255291">
        <w:rPr>
          <w:rFonts w:ascii="Times New Roman" w:hAnsi="Times New Roman" w:cs="Times New Roman"/>
          <w:b/>
          <w:color w:val="auto"/>
        </w:rPr>
        <w:lastRenderedPageBreak/>
        <w:t>Number of participants in education or training</w:t>
      </w:r>
      <w:bookmarkEnd w:id="18"/>
    </w:p>
    <w:p w14:paraId="548E0E59" w14:textId="77777777" w:rsidR="001F5716" w:rsidRPr="001F5716" w:rsidRDefault="001F5716" w:rsidP="001F5716"/>
    <w:tbl>
      <w:tblPr>
        <w:tblStyle w:val="TableGrid"/>
        <w:tblW w:w="9475" w:type="dxa"/>
        <w:tblLook w:val="04A0" w:firstRow="1" w:lastRow="0" w:firstColumn="1" w:lastColumn="0" w:noHBand="0" w:noVBand="1"/>
      </w:tblPr>
      <w:tblGrid>
        <w:gridCol w:w="2028"/>
        <w:gridCol w:w="7447"/>
      </w:tblGrid>
      <w:tr w:rsidR="00FB64C0" w:rsidRPr="00255291" w14:paraId="6023A303" w14:textId="77777777" w:rsidTr="009A1BE7">
        <w:tc>
          <w:tcPr>
            <w:tcW w:w="2028" w:type="dxa"/>
          </w:tcPr>
          <w:p w14:paraId="65D5E25B" w14:textId="77777777" w:rsidR="00FB64C0" w:rsidRPr="009A1BE7" w:rsidRDefault="00FB64C0" w:rsidP="00FD7872">
            <w:pPr>
              <w:rPr>
                <w:sz w:val="20"/>
              </w:rPr>
            </w:pPr>
            <w:r w:rsidRPr="009A1BE7">
              <w:rPr>
                <w:sz w:val="20"/>
              </w:rPr>
              <w:t>Indicator code</w:t>
            </w:r>
          </w:p>
        </w:tc>
        <w:tc>
          <w:tcPr>
            <w:tcW w:w="7447" w:type="dxa"/>
          </w:tcPr>
          <w:p w14:paraId="5959ABE0" w14:textId="77777777" w:rsidR="00FB64C0" w:rsidRPr="009A1BE7" w:rsidRDefault="00FB64C0" w:rsidP="00FD7872">
            <w:pPr>
              <w:pStyle w:val="Default"/>
              <w:jc w:val="both"/>
              <w:rPr>
                <w:sz w:val="20"/>
                <w:szCs w:val="23"/>
              </w:rPr>
            </w:pPr>
            <w:r w:rsidRPr="009A1BE7">
              <w:rPr>
                <w:sz w:val="20"/>
              </w:rPr>
              <w:t>RRFCI10</w:t>
            </w:r>
          </w:p>
        </w:tc>
      </w:tr>
      <w:tr w:rsidR="00FB64C0" w:rsidRPr="00255291" w14:paraId="3DDA99CA" w14:textId="77777777" w:rsidTr="009A1BE7">
        <w:tc>
          <w:tcPr>
            <w:tcW w:w="2028" w:type="dxa"/>
            <w:shd w:val="clear" w:color="auto" w:fill="auto"/>
          </w:tcPr>
          <w:p w14:paraId="5231A6D8" w14:textId="77777777" w:rsidR="00FB64C0" w:rsidRPr="009A1BE7" w:rsidRDefault="00FB64C0" w:rsidP="00FD7872">
            <w:pPr>
              <w:rPr>
                <w:sz w:val="20"/>
              </w:rPr>
            </w:pPr>
            <w:r w:rsidRPr="009A1BE7">
              <w:rPr>
                <w:sz w:val="20"/>
              </w:rPr>
              <w:t>Indicator name</w:t>
            </w:r>
          </w:p>
        </w:tc>
        <w:tc>
          <w:tcPr>
            <w:tcW w:w="7447" w:type="dxa"/>
            <w:shd w:val="clear" w:color="auto" w:fill="auto"/>
          </w:tcPr>
          <w:p w14:paraId="55DA96DE" w14:textId="77777777" w:rsidR="00FB64C0" w:rsidRPr="009A1BE7" w:rsidRDefault="00FB64C0" w:rsidP="00FD7872">
            <w:pPr>
              <w:rPr>
                <w:sz w:val="20"/>
              </w:rPr>
            </w:pPr>
            <w:r w:rsidRPr="009A1BE7">
              <w:rPr>
                <w:sz w:val="20"/>
              </w:rPr>
              <w:t>Number of participants in education or training</w:t>
            </w:r>
          </w:p>
        </w:tc>
      </w:tr>
      <w:tr w:rsidR="00FB64C0" w:rsidRPr="00255291" w14:paraId="35FFAABE" w14:textId="77777777" w:rsidTr="009A1BE7">
        <w:tc>
          <w:tcPr>
            <w:tcW w:w="2028" w:type="dxa"/>
            <w:shd w:val="clear" w:color="auto" w:fill="auto"/>
          </w:tcPr>
          <w:p w14:paraId="064ABDBE" w14:textId="77777777" w:rsidR="00FB64C0" w:rsidRPr="009A1BE7" w:rsidRDefault="00FB64C0" w:rsidP="00FD7872">
            <w:pPr>
              <w:rPr>
                <w:sz w:val="20"/>
              </w:rPr>
            </w:pPr>
            <w:r w:rsidRPr="009A1BE7">
              <w:rPr>
                <w:sz w:val="20"/>
              </w:rPr>
              <w:t>Measurement unit</w:t>
            </w:r>
          </w:p>
        </w:tc>
        <w:tc>
          <w:tcPr>
            <w:tcW w:w="7447" w:type="dxa"/>
            <w:shd w:val="clear" w:color="auto" w:fill="auto"/>
          </w:tcPr>
          <w:p w14:paraId="7C5DCFF3" w14:textId="77777777" w:rsidR="00FB64C0" w:rsidRPr="009A1BE7" w:rsidRDefault="00FB64C0" w:rsidP="00FD7872">
            <w:pPr>
              <w:rPr>
                <w:sz w:val="20"/>
              </w:rPr>
            </w:pPr>
            <w:r w:rsidRPr="009A1BE7">
              <w:rPr>
                <w:sz w:val="20"/>
              </w:rPr>
              <w:t>Persons</w:t>
            </w:r>
          </w:p>
        </w:tc>
      </w:tr>
      <w:tr w:rsidR="00D0748F" w:rsidRPr="00255291" w14:paraId="626F287F" w14:textId="77777777" w:rsidTr="009A1BE7">
        <w:tc>
          <w:tcPr>
            <w:tcW w:w="2028" w:type="dxa"/>
            <w:shd w:val="clear" w:color="auto" w:fill="auto"/>
          </w:tcPr>
          <w:p w14:paraId="5F768B26" w14:textId="08A07B6A" w:rsidR="00D0748F" w:rsidRPr="009A1BE7" w:rsidRDefault="00D0748F" w:rsidP="00FD7872">
            <w:pPr>
              <w:rPr>
                <w:sz w:val="20"/>
              </w:rPr>
            </w:pPr>
            <w:r w:rsidRPr="009A1BE7">
              <w:rPr>
                <w:sz w:val="20"/>
              </w:rPr>
              <w:t>Type of indicator</w:t>
            </w:r>
          </w:p>
        </w:tc>
        <w:tc>
          <w:tcPr>
            <w:tcW w:w="7447" w:type="dxa"/>
            <w:shd w:val="clear" w:color="auto" w:fill="auto"/>
          </w:tcPr>
          <w:p w14:paraId="61C52025" w14:textId="31483766" w:rsidR="00D0748F" w:rsidRPr="009A1BE7" w:rsidRDefault="00D0748F" w:rsidP="00FD7872">
            <w:pPr>
              <w:rPr>
                <w:sz w:val="20"/>
              </w:rPr>
            </w:pPr>
            <w:r w:rsidRPr="009A1BE7">
              <w:rPr>
                <w:sz w:val="20"/>
              </w:rPr>
              <w:t>Flow</w:t>
            </w:r>
          </w:p>
        </w:tc>
      </w:tr>
      <w:tr w:rsidR="007F2094" w:rsidRPr="00255291" w14:paraId="1875456E" w14:textId="77777777" w:rsidTr="009A1BE7">
        <w:tc>
          <w:tcPr>
            <w:tcW w:w="2028" w:type="dxa"/>
            <w:shd w:val="clear" w:color="auto" w:fill="auto"/>
          </w:tcPr>
          <w:p w14:paraId="2C461277" w14:textId="77777777" w:rsidR="007F2094" w:rsidRPr="009A1BE7" w:rsidRDefault="007F2094" w:rsidP="00FD7872">
            <w:pPr>
              <w:rPr>
                <w:sz w:val="20"/>
              </w:rPr>
            </w:pPr>
            <w:r w:rsidRPr="009A1BE7">
              <w:rPr>
                <w:sz w:val="20"/>
              </w:rPr>
              <w:t>Baseline</w:t>
            </w:r>
          </w:p>
        </w:tc>
        <w:tc>
          <w:tcPr>
            <w:tcW w:w="7447" w:type="dxa"/>
            <w:shd w:val="clear" w:color="auto" w:fill="auto"/>
          </w:tcPr>
          <w:p w14:paraId="6F57DAE4" w14:textId="0893C917" w:rsidR="007F2094" w:rsidRPr="009A1BE7" w:rsidRDefault="00674F86" w:rsidP="00364167">
            <w:pPr>
              <w:rPr>
                <w:sz w:val="20"/>
              </w:rPr>
            </w:pPr>
            <w:r w:rsidRPr="009A1BE7">
              <w:rPr>
                <w:sz w:val="20"/>
              </w:rPr>
              <w:t>0, reset every reporting round</w:t>
            </w:r>
          </w:p>
        </w:tc>
      </w:tr>
      <w:tr w:rsidR="00FB64C0" w:rsidRPr="00255291" w14:paraId="5FF0A1E1" w14:textId="77777777" w:rsidTr="009A1BE7">
        <w:tc>
          <w:tcPr>
            <w:tcW w:w="2028" w:type="dxa"/>
            <w:shd w:val="clear" w:color="auto" w:fill="auto"/>
          </w:tcPr>
          <w:p w14:paraId="65F55650" w14:textId="77777777" w:rsidR="00FB64C0" w:rsidRPr="009A1BE7" w:rsidRDefault="00FB64C0" w:rsidP="00364167">
            <w:pPr>
              <w:rPr>
                <w:sz w:val="20"/>
              </w:rPr>
            </w:pPr>
            <w:r w:rsidRPr="009A1BE7">
              <w:rPr>
                <w:sz w:val="20"/>
              </w:rPr>
              <w:t>RRF Pillars</w:t>
            </w:r>
          </w:p>
        </w:tc>
        <w:tc>
          <w:tcPr>
            <w:tcW w:w="7447" w:type="dxa"/>
            <w:shd w:val="clear" w:color="auto" w:fill="auto"/>
          </w:tcPr>
          <w:p w14:paraId="0FFD3499" w14:textId="77777777" w:rsidR="00FB64C0" w:rsidRPr="009A1BE7" w:rsidRDefault="00FB64C0" w:rsidP="00364167">
            <w:pPr>
              <w:rPr>
                <w:sz w:val="20"/>
              </w:rPr>
            </w:pPr>
            <w:r w:rsidRPr="009A1BE7">
              <w:rPr>
                <w:sz w:val="20"/>
              </w:rPr>
              <w:t>Pillar 2 Digital transformation</w:t>
            </w:r>
          </w:p>
          <w:p w14:paraId="7FD79CE2" w14:textId="77777777" w:rsidR="00FB64C0" w:rsidRPr="009A1BE7" w:rsidRDefault="00FB64C0" w:rsidP="00364167">
            <w:pPr>
              <w:rPr>
                <w:sz w:val="20"/>
              </w:rPr>
            </w:pPr>
            <w:r w:rsidRPr="009A1BE7">
              <w:rPr>
                <w:sz w:val="20"/>
              </w:rPr>
              <w:t>Pillar 4 Social and territorial cohesion</w:t>
            </w:r>
          </w:p>
          <w:p w14:paraId="0DAA7900" w14:textId="77777777" w:rsidR="00FB64C0" w:rsidRPr="009A1BE7" w:rsidRDefault="00FB64C0" w:rsidP="00364167">
            <w:pPr>
              <w:rPr>
                <w:sz w:val="20"/>
              </w:rPr>
            </w:pPr>
            <w:r w:rsidRPr="009A1BE7">
              <w:rPr>
                <w:sz w:val="20"/>
              </w:rPr>
              <w:t>Pillar 6 Policies for the next generation</w:t>
            </w:r>
          </w:p>
        </w:tc>
      </w:tr>
      <w:tr w:rsidR="00FB64C0" w:rsidRPr="00255291" w14:paraId="3C8CE7D5" w14:textId="77777777" w:rsidTr="009A1BE7">
        <w:tc>
          <w:tcPr>
            <w:tcW w:w="2028" w:type="dxa"/>
            <w:shd w:val="clear" w:color="auto" w:fill="auto"/>
          </w:tcPr>
          <w:p w14:paraId="2D7F2D60" w14:textId="77777777" w:rsidR="00FB64C0" w:rsidRPr="009A1BE7" w:rsidRDefault="00FB64C0" w:rsidP="00FD7872">
            <w:pPr>
              <w:rPr>
                <w:sz w:val="20"/>
              </w:rPr>
            </w:pPr>
            <w:r w:rsidRPr="009A1BE7">
              <w:rPr>
                <w:sz w:val="20"/>
              </w:rPr>
              <w:t>Definition and concept</w:t>
            </w:r>
          </w:p>
        </w:tc>
        <w:tc>
          <w:tcPr>
            <w:tcW w:w="7447" w:type="dxa"/>
            <w:shd w:val="clear" w:color="auto" w:fill="auto"/>
          </w:tcPr>
          <w:p w14:paraId="02FC804A" w14:textId="2A89B2B3" w:rsidR="00DF4B25" w:rsidRPr="009A1BE7" w:rsidRDefault="00FB64C0">
            <w:pPr>
              <w:rPr>
                <w:sz w:val="20"/>
                <w:szCs w:val="23"/>
              </w:rPr>
            </w:pPr>
            <w:r w:rsidRPr="009A1BE7">
              <w:rPr>
                <w:sz w:val="20"/>
              </w:rPr>
              <w:t xml:space="preserve">The indicator shall take into account the number of </w:t>
            </w:r>
            <w:r w:rsidR="00700B49" w:rsidRPr="009A1BE7">
              <w:rPr>
                <w:sz w:val="20"/>
              </w:rPr>
              <w:t xml:space="preserve">newly engaged </w:t>
            </w:r>
            <w:r w:rsidRPr="009A1BE7">
              <w:rPr>
                <w:sz w:val="20"/>
              </w:rPr>
              <w:t xml:space="preserve">participants to education (ISCED 0-6, </w:t>
            </w:r>
            <w:r w:rsidR="00CB4770">
              <w:rPr>
                <w:sz w:val="20"/>
              </w:rPr>
              <w:t xml:space="preserve">ISCED 7-8, </w:t>
            </w:r>
            <w:r w:rsidRPr="009A1BE7">
              <w:rPr>
                <w:sz w:val="20"/>
              </w:rPr>
              <w:t xml:space="preserve">adult learning) and training (off-the-job/in-the-job training, continuous vocational education and training, etc.) activities supported by measures under the Facility, including participants to digital skills trainings. It shall therefore be collected and reported on by i) participants in education or training, and of </w:t>
            </w:r>
            <w:r w:rsidRPr="009A1BE7">
              <w:rPr>
                <w:sz w:val="20"/>
                <w:szCs w:val="23"/>
              </w:rPr>
              <w:t xml:space="preserve">those, ii) participants in digital skills training. </w:t>
            </w:r>
          </w:p>
          <w:p w14:paraId="0AA3092E" w14:textId="4607E2B5" w:rsidR="00700B49" w:rsidRPr="009A1BE7" w:rsidRDefault="00CB4770">
            <w:pPr>
              <w:rPr>
                <w:sz w:val="20"/>
                <w:szCs w:val="23"/>
              </w:rPr>
            </w:pPr>
            <w:r w:rsidRPr="009A1BE7" w:rsidDel="00CB4770">
              <w:rPr>
                <w:sz w:val="20"/>
                <w:szCs w:val="23"/>
              </w:rPr>
              <w:t xml:space="preserve"> </w:t>
            </w:r>
            <w:r w:rsidR="00700B49" w:rsidRPr="009A1BE7">
              <w:rPr>
                <w:sz w:val="20"/>
                <w:szCs w:val="23"/>
              </w:rPr>
              <w:t>“Newly engaged” means that in case of education or training programme that already existed and have been improved by the RRF, only participants joining after the RRF support shall be counted.</w:t>
            </w:r>
          </w:p>
          <w:p w14:paraId="2BD24424" w14:textId="77777777" w:rsidR="00FB64C0" w:rsidRPr="009A1BE7" w:rsidRDefault="00DF4B25">
            <w:pPr>
              <w:rPr>
                <w:sz w:val="20"/>
              </w:rPr>
            </w:pPr>
            <w:r w:rsidRPr="009A1BE7">
              <w:rPr>
                <w:sz w:val="20"/>
              </w:rPr>
              <w:t>In line with Annex VII of the RRF Regulation displaying the digital tagging under the Facility, digital skills training is to be understood within the meaning of intervention field 108 (Support for the development of digital skills), which states: “This refers to digital skills at all levels and includes: highly specialized education programmes to train digital specialists (that is technology focused programmes); training of teachers, development of digital content for education purposes and relevant organisational capabilities. This also includes measures and programmes aimed at improving basic digital skills.”</w:t>
            </w:r>
          </w:p>
        </w:tc>
      </w:tr>
      <w:tr w:rsidR="00FB64C0" w:rsidRPr="00255291" w14:paraId="34B9309D" w14:textId="77777777" w:rsidTr="009A1BE7">
        <w:tc>
          <w:tcPr>
            <w:tcW w:w="2028" w:type="dxa"/>
          </w:tcPr>
          <w:p w14:paraId="04A69D31" w14:textId="77777777" w:rsidR="00FB64C0" w:rsidRPr="009A1BE7" w:rsidRDefault="00FB64C0" w:rsidP="00FD7872">
            <w:pPr>
              <w:rPr>
                <w:sz w:val="20"/>
              </w:rPr>
            </w:pPr>
            <w:r w:rsidRPr="009A1BE7">
              <w:rPr>
                <w:sz w:val="20"/>
              </w:rPr>
              <w:t>Time measurement</w:t>
            </w:r>
          </w:p>
        </w:tc>
        <w:tc>
          <w:tcPr>
            <w:tcW w:w="7447" w:type="dxa"/>
          </w:tcPr>
          <w:p w14:paraId="06E906DE" w14:textId="44278F5E" w:rsidR="00FB64C0" w:rsidRPr="009A1BE7" w:rsidRDefault="00FB64C0" w:rsidP="00416921">
            <w:pPr>
              <w:rPr>
                <w:sz w:val="20"/>
              </w:rPr>
            </w:pPr>
            <w:r w:rsidRPr="009A1BE7">
              <w:rPr>
                <w:noProof/>
                <w:color w:val="000000"/>
                <w:sz w:val="20"/>
                <w:lang w:val="en-IE" w:eastAsia="en-IE"/>
              </w:rPr>
              <w:t xml:space="preserve">Participants shall be counted upon entering the education or training activity </w:t>
            </w:r>
            <w:r w:rsidRPr="009A1BE7">
              <w:rPr>
                <w:sz w:val="20"/>
                <w:lang w:val="en-IE"/>
              </w:rPr>
              <w:t>in supported projects by the Facility</w:t>
            </w:r>
            <w:r w:rsidR="0053610B" w:rsidRPr="009A1BE7">
              <w:rPr>
                <w:sz w:val="20"/>
                <w:lang w:val="en-IE"/>
              </w:rPr>
              <w:t>.</w:t>
            </w:r>
            <w:r w:rsidR="00D21769" w:rsidRPr="009A1BE7">
              <w:rPr>
                <w:sz w:val="20"/>
                <w:lang w:val="en-IE"/>
              </w:rPr>
              <w:t xml:space="preserve"> </w:t>
            </w:r>
          </w:p>
        </w:tc>
      </w:tr>
      <w:tr w:rsidR="00416921" w:rsidRPr="00255291" w14:paraId="15AA317E" w14:textId="77777777" w:rsidTr="009A1BE7">
        <w:tc>
          <w:tcPr>
            <w:tcW w:w="2028" w:type="dxa"/>
          </w:tcPr>
          <w:p w14:paraId="34E54FDE" w14:textId="6A459C80" w:rsidR="00416921" w:rsidRPr="009A1BE7" w:rsidRDefault="00416921" w:rsidP="00FD7872">
            <w:pPr>
              <w:rPr>
                <w:sz w:val="20"/>
              </w:rPr>
            </w:pPr>
            <w:r w:rsidRPr="009A1BE7">
              <w:rPr>
                <w:sz w:val="20"/>
              </w:rPr>
              <w:t>Counting methodology</w:t>
            </w:r>
          </w:p>
        </w:tc>
        <w:tc>
          <w:tcPr>
            <w:tcW w:w="7447" w:type="dxa"/>
          </w:tcPr>
          <w:p w14:paraId="5C35C3ED" w14:textId="57BB9E24" w:rsidR="00416921" w:rsidRPr="009A1BE7" w:rsidRDefault="00416921">
            <w:pPr>
              <w:rPr>
                <w:noProof/>
                <w:color w:val="000000"/>
                <w:sz w:val="20"/>
                <w:lang w:val="en-IE" w:eastAsia="en-IE"/>
              </w:rPr>
            </w:pPr>
            <w:r w:rsidRPr="009A1BE7">
              <w:rPr>
                <w:noProof/>
                <w:color w:val="000000"/>
                <w:sz w:val="20"/>
                <w:lang w:val="en-IE" w:eastAsia="en-IE"/>
              </w:rPr>
              <w:t xml:space="preserve">Participation shall be counted per education or training activity, even if it lasts several years. Additionally, a participant to two </w:t>
            </w:r>
            <w:r w:rsidRPr="009A1BE7">
              <w:rPr>
                <w:i/>
                <w:noProof/>
                <w:color w:val="000000"/>
                <w:sz w:val="20"/>
                <w:lang w:val="en-IE" w:eastAsia="en-IE"/>
              </w:rPr>
              <w:t>different</w:t>
            </w:r>
            <w:r w:rsidRPr="009A1BE7">
              <w:rPr>
                <w:noProof/>
                <w:color w:val="000000"/>
                <w:sz w:val="20"/>
                <w:lang w:val="en-IE" w:eastAsia="en-IE"/>
              </w:rPr>
              <w:t xml:space="preserve"> education or training activities should be counted twice – once per training or education activity (as defined in the general principles).</w:t>
            </w:r>
          </w:p>
        </w:tc>
      </w:tr>
      <w:tr w:rsidR="00FB64C0" w:rsidRPr="00255291" w14:paraId="551B2E64" w14:textId="77777777" w:rsidTr="009A1BE7">
        <w:tc>
          <w:tcPr>
            <w:tcW w:w="2028" w:type="dxa"/>
          </w:tcPr>
          <w:p w14:paraId="3F8AD931" w14:textId="77777777" w:rsidR="00FB64C0" w:rsidRPr="009A1BE7" w:rsidRDefault="00FB64C0" w:rsidP="00FD7872">
            <w:pPr>
              <w:rPr>
                <w:sz w:val="20"/>
              </w:rPr>
            </w:pPr>
            <w:r w:rsidRPr="009A1BE7">
              <w:rPr>
                <w:sz w:val="20"/>
              </w:rPr>
              <w:t>Disaggregation</w:t>
            </w:r>
          </w:p>
          <w:p w14:paraId="4CBB04B1" w14:textId="77777777" w:rsidR="00FB64C0" w:rsidRPr="009A1BE7" w:rsidRDefault="00FB64C0" w:rsidP="00FD7872">
            <w:pPr>
              <w:rPr>
                <w:sz w:val="20"/>
              </w:rPr>
            </w:pPr>
          </w:p>
        </w:tc>
        <w:tc>
          <w:tcPr>
            <w:tcW w:w="7447" w:type="dxa"/>
          </w:tcPr>
          <w:p w14:paraId="3DAFD69D" w14:textId="77777777" w:rsidR="00FB64C0" w:rsidRPr="009A1BE7" w:rsidRDefault="00A910A0" w:rsidP="00FD7872">
            <w:pPr>
              <w:rPr>
                <w:sz w:val="20"/>
              </w:rPr>
            </w:pPr>
            <w:r w:rsidRPr="009A1BE7">
              <w:rPr>
                <w:sz w:val="20"/>
              </w:rPr>
              <w:t>It shall be disaggregated by</w:t>
            </w:r>
            <w:r w:rsidR="00FB64C0" w:rsidRPr="009A1BE7">
              <w:rPr>
                <w:sz w:val="20"/>
              </w:rPr>
              <w:t>:</w:t>
            </w:r>
          </w:p>
          <w:p w14:paraId="1DC9167C" w14:textId="77777777" w:rsidR="00FB64C0" w:rsidRPr="009A1BE7" w:rsidRDefault="00FB64C0" w:rsidP="00FD7872">
            <w:pPr>
              <w:pStyle w:val="ListParagraph"/>
              <w:numPr>
                <w:ilvl w:val="0"/>
                <w:numId w:val="10"/>
              </w:numPr>
              <w:rPr>
                <w:sz w:val="20"/>
                <w:szCs w:val="23"/>
              </w:rPr>
            </w:pPr>
            <w:r w:rsidRPr="009A1BE7">
              <w:rPr>
                <w:sz w:val="20"/>
              </w:rPr>
              <w:t xml:space="preserve">participants </w:t>
            </w:r>
            <w:r w:rsidR="000144E3" w:rsidRPr="009A1BE7">
              <w:rPr>
                <w:sz w:val="20"/>
              </w:rPr>
              <w:t>in</w:t>
            </w:r>
            <w:r w:rsidRPr="009A1BE7">
              <w:rPr>
                <w:sz w:val="20"/>
              </w:rPr>
              <w:t xml:space="preserve">  education or training</w:t>
            </w:r>
          </w:p>
          <w:p w14:paraId="46705788" w14:textId="77777777" w:rsidR="00FB64C0" w:rsidRPr="009A1BE7" w:rsidRDefault="00FB64C0" w:rsidP="00FD7872">
            <w:pPr>
              <w:pStyle w:val="ListParagraph"/>
              <w:numPr>
                <w:ilvl w:val="1"/>
                <w:numId w:val="10"/>
              </w:numPr>
              <w:rPr>
                <w:sz w:val="20"/>
                <w:szCs w:val="23"/>
              </w:rPr>
            </w:pPr>
            <w:r w:rsidRPr="009A1BE7">
              <w:rPr>
                <w:sz w:val="20"/>
              </w:rPr>
              <w:t>Gender</w:t>
            </w:r>
            <w:r w:rsidR="00002F84" w:rsidRPr="009A1BE7">
              <w:rPr>
                <w:sz w:val="20"/>
              </w:rPr>
              <w:t xml:space="preserve"> </w:t>
            </w:r>
          </w:p>
          <w:p w14:paraId="5EDAD6FE" w14:textId="77777777" w:rsidR="00FB64C0" w:rsidRPr="009A1BE7" w:rsidRDefault="00180D2B" w:rsidP="00FD7872">
            <w:pPr>
              <w:pStyle w:val="ListParagraph"/>
              <w:numPr>
                <w:ilvl w:val="1"/>
                <w:numId w:val="10"/>
              </w:numPr>
              <w:rPr>
                <w:sz w:val="20"/>
                <w:szCs w:val="23"/>
              </w:rPr>
            </w:pPr>
            <w:r w:rsidRPr="009A1BE7">
              <w:rPr>
                <w:sz w:val="20"/>
              </w:rPr>
              <w:t xml:space="preserve">Age </w:t>
            </w:r>
          </w:p>
          <w:p w14:paraId="0C76BF45" w14:textId="77777777" w:rsidR="00FB64C0" w:rsidRPr="009A1BE7" w:rsidRDefault="00D12444" w:rsidP="00FD7872">
            <w:pPr>
              <w:pStyle w:val="ListParagraph"/>
              <w:numPr>
                <w:ilvl w:val="0"/>
                <w:numId w:val="10"/>
              </w:numPr>
              <w:rPr>
                <w:sz w:val="20"/>
                <w:szCs w:val="23"/>
              </w:rPr>
            </w:pPr>
            <w:r w:rsidRPr="009A1BE7">
              <w:rPr>
                <w:sz w:val="20"/>
                <w:szCs w:val="23"/>
              </w:rPr>
              <w:t xml:space="preserve">as part of the (i), </w:t>
            </w:r>
            <w:r w:rsidR="00FB64C0" w:rsidRPr="009A1BE7">
              <w:rPr>
                <w:sz w:val="20"/>
                <w:szCs w:val="23"/>
              </w:rPr>
              <w:t>participants in digital skills training</w:t>
            </w:r>
            <w:r w:rsidRPr="009A1BE7">
              <w:rPr>
                <w:sz w:val="20"/>
                <w:szCs w:val="23"/>
              </w:rPr>
              <w:t xml:space="preserve"> shall be reported separately</w:t>
            </w:r>
          </w:p>
          <w:p w14:paraId="42946A3F" w14:textId="77777777" w:rsidR="00FB64C0" w:rsidRPr="009A1BE7" w:rsidRDefault="00FB64C0" w:rsidP="00FD7872">
            <w:pPr>
              <w:pStyle w:val="ListParagraph"/>
              <w:numPr>
                <w:ilvl w:val="1"/>
                <w:numId w:val="10"/>
              </w:numPr>
              <w:rPr>
                <w:sz w:val="20"/>
                <w:szCs w:val="23"/>
              </w:rPr>
            </w:pPr>
            <w:r w:rsidRPr="009A1BE7">
              <w:rPr>
                <w:sz w:val="20"/>
              </w:rPr>
              <w:t>Gender</w:t>
            </w:r>
          </w:p>
          <w:p w14:paraId="2ED8FAD3" w14:textId="520DFEEB" w:rsidR="00FB64C0" w:rsidRPr="009A1BE7" w:rsidRDefault="00FB64C0" w:rsidP="00FD7872">
            <w:pPr>
              <w:pStyle w:val="ListParagraph"/>
              <w:numPr>
                <w:ilvl w:val="1"/>
                <w:numId w:val="10"/>
              </w:numPr>
              <w:rPr>
                <w:sz w:val="20"/>
                <w:szCs w:val="23"/>
              </w:rPr>
            </w:pPr>
            <w:r w:rsidRPr="009A1BE7">
              <w:rPr>
                <w:sz w:val="20"/>
              </w:rPr>
              <w:t xml:space="preserve">Age </w:t>
            </w:r>
          </w:p>
        </w:tc>
      </w:tr>
      <w:tr w:rsidR="00FB64C0" w:rsidRPr="00255291" w14:paraId="3FB95631" w14:textId="77777777" w:rsidTr="009A1BE7">
        <w:tc>
          <w:tcPr>
            <w:tcW w:w="2028" w:type="dxa"/>
          </w:tcPr>
          <w:p w14:paraId="0ECFA5F2" w14:textId="77777777" w:rsidR="00FB64C0" w:rsidRPr="009A1BE7" w:rsidRDefault="00FB64C0" w:rsidP="00FD7872">
            <w:pPr>
              <w:rPr>
                <w:sz w:val="20"/>
              </w:rPr>
            </w:pPr>
            <w:r w:rsidRPr="009A1BE7">
              <w:rPr>
                <w:sz w:val="20"/>
              </w:rPr>
              <w:t xml:space="preserve">References </w:t>
            </w:r>
          </w:p>
        </w:tc>
        <w:tc>
          <w:tcPr>
            <w:tcW w:w="7447" w:type="dxa"/>
          </w:tcPr>
          <w:p w14:paraId="53D6C4B7" w14:textId="3624169F" w:rsidR="00CC723A" w:rsidRPr="009A1BE7" w:rsidRDefault="00CC723A" w:rsidP="00CC723A">
            <w:pPr>
              <w:pStyle w:val="Default"/>
              <w:rPr>
                <w:sz w:val="20"/>
              </w:rPr>
            </w:pPr>
            <w:r w:rsidRPr="009A1BE7">
              <w:rPr>
                <w:bCs/>
                <w:sz w:val="20"/>
                <w:lang w:val="en-GB"/>
              </w:rPr>
              <w:t>ISCED</w:t>
            </w:r>
            <w:r w:rsidRPr="009A1BE7">
              <w:rPr>
                <w:sz w:val="20"/>
                <w:lang w:val="en-GB"/>
              </w:rPr>
              <w:t xml:space="preserve"> is the reference international classification for organising education programmes and related qualifications by levels and fields. ISCED 2011 (levels of education) has been </w:t>
            </w:r>
            <w:r w:rsidRPr="009A1BE7">
              <w:rPr>
                <w:sz w:val="20"/>
                <w:lang w:val="en-GB"/>
              </w:rPr>
              <w:lastRenderedPageBreak/>
              <w:t>implemented in all EU data collections since 2014. </w:t>
            </w:r>
            <w:r w:rsidRPr="009A1BE7">
              <w:rPr>
                <w:sz w:val="20"/>
              </w:rPr>
              <w:t>ISCED 2011 has nine education levels, from level 0 to level 8 (tertiary education is more detailed):</w:t>
            </w:r>
          </w:p>
          <w:p w14:paraId="71459212" w14:textId="77777777" w:rsidR="00CC723A" w:rsidRPr="009A1BE7" w:rsidRDefault="00CC723A" w:rsidP="00CC723A">
            <w:pPr>
              <w:pStyle w:val="Default"/>
              <w:numPr>
                <w:ilvl w:val="0"/>
                <w:numId w:val="48"/>
              </w:numPr>
              <w:jc w:val="both"/>
              <w:rPr>
                <w:sz w:val="20"/>
              </w:rPr>
            </w:pPr>
            <w:r w:rsidRPr="009A1BE7">
              <w:rPr>
                <w:sz w:val="20"/>
              </w:rPr>
              <w:t>ISCED 0: Early childhood education (‘less than primary’ for educational attainment)</w:t>
            </w:r>
          </w:p>
          <w:p w14:paraId="1501A478" w14:textId="77777777" w:rsidR="00CC723A" w:rsidRPr="009A1BE7" w:rsidRDefault="00CC723A" w:rsidP="00CC723A">
            <w:pPr>
              <w:pStyle w:val="Default"/>
              <w:numPr>
                <w:ilvl w:val="0"/>
                <w:numId w:val="48"/>
              </w:numPr>
              <w:jc w:val="both"/>
              <w:rPr>
                <w:sz w:val="20"/>
              </w:rPr>
            </w:pPr>
            <w:r w:rsidRPr="009A1BE7">
              <w:rPr>
                <w:sz w:val="20"/>
              </w:rPr>
              <w:t>ISCED 1: Primary education</w:t>
            </w:r>
          </w:p>
          <w:p w14:paraId="7B0F40AB" w14:textId="77777777" w:rsidR="00CC723A" w:rsidRPr="009A1BE7" w:rsidRDefault="00CC723A" w:rsidP="00CC723A">
            <w:pPr>
              <w:pStyle w:val="Default"/>
              <w:numPr>
                <w:ilvl w:val="0"/>
                <w:numId w:val="48"/>
              </w:numPr>
              <w:jc w:val="both"/>
              <w:rPr>
                <w:sz w:val="20"/>
              </w:rPr>
            </w:pPr>
            <w:r w:rsidRPr="009A1BE7">
              <w:rPr>
                <w:sz w:val="20"/>
              </w:rPr>
              <w:t>ISCED 2: Lower secondary education</w:t>
            </w:r>
          </w:p>
          <w:p w14:paraId="1330DF5A" w14:textId="77777777" w:rsidR="00CC723A" w:rsidRPr="009A1BE7" w:rsidRDefault="00CC723A" w:rsidP="00CC723A">
            <w:pPr>
              <w:pStyle w:val="Default"/>
              <w:numPr>
                <w:ilvl w:val="0"/>
                <w:numId w:val="48"/>
              </w:numPr>
              <w:jc w:val="both"/>
              <w:rPr>
                <w:sz w:val="20"/>
              </w:rPr>
            </w:pPr>
            <w:r w:rsidRPr="009A1BE7">
              <w:rPr>
                <w:sz w:val="20"/>
              </w:rPr>
              <w:t>ISCED 3: Upper secondary education</w:t>
            </w:r>
          </w:p>
          <w:p w14:paraId="54F543A8" w14:textId="77777777" w:rsidR="00CC723A" w:rsidRPr="009A1BE7" w:rsidRDefault="00CC723A" w:rsidP="00CC723A">
            <w:pPr>
              <w:pStyle w:val="Default"/>
              <w:numPr>
                <w:ilvl w:val="0"/>
                <w:numId w:val="48"/>
              </w:numPr>
              <w:jc w:val="both"/>
              <w:rPr>
                <w:sz w:val="20"/>
              </w:rPr>
            </w:pPr>
            <w:r w:rsidRPr="009A1BE7">
              <w:rPr>
                <w:sz w:val="20"/>
              </w:rPr>
              <w:t>ISCED 4: Post-secondary non-tertiary education</w:t>
            </w:r>
          </w:p>
          <w:p w14:paraId="60315434" w14:textId="77777777" w:rsidR="00CC723A" w:rsidRPr="009A1BE7" w:rsidRDefault="00CC723A" w:rsidP="00CC723A">
            <w:pPr>
              <w:pStyle w:val="Default"/>
              <w:numPr>
                <w:ilvl w:val="0"/>
                <w:numId w:val="48"/>
              </w:numPr>
              <w:jc w:val="both"/>
              <w:rPr>
                <w:sz w:val="20"/>
              </w:rPr>
            </w:pPr>
            <w:r w:rsidRPr="009A1BE7">
              <w:rPr>
                <w:sz w:val="20"/>
              </w:rPr>
              <w:t>ISCED 5: Short-cycle tertiary education</w:t>
            </w:r>
          </w:p>
          <w:p w14:paraId="5F78365D" w14:textId="77777777" w:rsidR="00CC723A" w:rsidRPr="009A1BE7" w:rsidRDefault="00CC723A" w:rsidP="00CC723A">
            <w:pPr>
              <w:pStyle w:val="Default"/>
              <w:numPr>
                <w:ilvl w:val="0"/>
                <w:numId w:val="48"/>
              </w:numPr>
              <w:jc w:val="both"/>
              <w:rPr>
                <w:sz w:val="20"/>
              </w:rPr>
            </w:pPr>
            <w:r w:rsidRPr="009A1BE7">
              <w:rPr>
                <w:sz w:val="20"/>
              </w:rPr>
              <w:t>ISCED 6: Bachelor’s or equivalent level</w:t>
            </w:r>
          </w:p>
          <w:p w14:paraId="21CA8812" w14:textId="77777777" w:rsidR="00CC723A" w:rsidRPr="009A1BE7" w:rsidRDefault="00CC723A" w:rsidP="00CC723A">
            <w:pPr>
              <w:pStyle w:val="Default"/>
              <w:numPr>
                <w:ilvl w:val="0"/>
                <w:numId w:val="48"/>
              </w:numPr>
              <w:jc w:val="both"/>
              <w:rPr>
                <w:sz w:val="20"/>
              </w:rPr>
            </w:pPr>
            <w:r w:rsidRPr="009A1BE7">
              <w:rPr>
                <w:sz w:val="20"/>
              </w:rPr>
              <w:t>ISCED 7: Master’s or equivalent level</w:t>
            </w:r>
          </w:p>
          <w:p w14:paraId="6FC754C4" w14:textId="4E610026" w:rsidR="00CF390C" w:rsidRPr="009A1BE7" w:rsidRDefault="00CC723A" w:rsidP="00101080">
            <w:pPr>
              <w:pStyle w:val="Default"/>
              <w:numPr>
                <w:ilvl w:val="0"/>
                <w:numId w:val="48"/>
              </w:numPr>
              <w:jc w:val="both"/>
              <w:rPr>
                <w:sz w:val="20"/>
              </w:rPr>
            </w:pPr>
            <w:r w:rsidRPr="009A1BE7">
              <w:rPr>
                <w:sz w:val="20"/>
              </w:rPr>
              <w:t>ISCED 8: Doctoral or equivalent level</w:t>
            </w:r>
            <w:r w:rsidR="000E7477" w:rsidRPr="009A1BE7">
              <w:rPr>
                <w:sz w:val="20"/>
                <w:lang w:val="en-GB"/>
              </w:rPr>
              <w:t>Persons</w:t>
            </w:r>
            <w:r w:rsidR="00CF390C" w:rsidRPr="009A1BE7">
              <w:rPr>
                <w:sz w:val="20"/>
                <w:lang w:val="en-GB"/>
              </w:rPr>
              <w:t xml:space="preserve"> in training</w:t>
            </w:r>
            <w:r w:rsidR="000E7477" w:rsidRPr="009A1BE7">
              <w:rPr>
                <w:sz w:val="20"/>
                <w:lang w:val="en-GB"/>
              </w:rPr>
              <w:t xml:space="preserve"> </w:t>
            </w:r>
            <w:r w:rsidR="00CF390C" w:rsidRPr="009A1BE7">
              <w:rPr>
                <w:sz w:val="20"/>
                <w:lang w:val="en-GB"/>
              </w:rPr>
              <w:t>encompasses the classifications</w:t>
            </w:r>
            <w:r w:rsidR="00D25D15" w:rsidRPr="009A1BE7">
              <w:rPr>
                <w:sz w:val="20"/>
                <w:lang w:val="en-GB"/>
              </w:rPr>
              <w:t xml:space="preserve"> of learning activities</w:t>
            </w:r>
            <w:r w:rsidR="00CF390C" w:rsidRPr="009A1BE7">
              <w:rPr>
                <w:sz w:val="20"/>
                <w:lang w:val="en-GB"/>
              </w:rPr>
              <w:t xml:space="preserve"> defined by Eurostat</w:t>
            </w:r>
            <w:r w:rsidR="00D25D15" w:rsidRPr="009A1BE7">
              <w:rPr>
                <w:sz w:val="20"/>
                <w:lang w:val="en-GB"/>
              </w:rPr>
              <w:t>, as in the Manual on classification of learning activities (CLA)</w:t>
            </w:r>
            <w:r w:rsidR="00D25D15" w:rsidRPr="009A1BE7">
              <w:rPr>
                <w:rStyle w:val="FootnoteReference"/>
                <w:sz w:val="20"/>
                <w:lang w:val="en-GB"/>
              </w:rPr>
              <w:footnoteReference w:id="3"/>
            </w:r>
            <w:r w:rsidR="00CF390C" w:rsidRPr="009A1BE7">
              <w:rPr>
                <w:sz w:val="20"/>
                <w:lang w:val="en-GB"/>
              </w:rPr>
              <w:t>.</w:t>
            </w:r>
            <w:r w:rsidR="00A4516A" w:rsidRPr="009A1BE7">
              <w:rPr>
                <w:sz w:val="20"/>
                <w:lang w:val="en-GB"/>
              </w:rPr>
              <w:t xml:space="preserve"> </w:t>
            </w:r>
            <w:r w:rsidR="00CF390C" w:rsidRPr="009A1BE7">
              <w:rPr>
                <w:sz w:val="20"/>
                <w:lang w:val="en-GB"/>
              </w:rPr>
              <w:t>These include formal and non-formal education and as defined in the adult education survey (AES</w:t>
            </w:r>
            <w:r w:rsidR="00CF390C" w:rsidRPr="009A1BE7">
              <w:rPr>
                <w:sz w:val="20"/>
                <w:vertAlign w:val="superscript"/>
                <w:lang w:val="en-GB"/>
              </w:rPr>
              <w:footnoteReference w:id="4"/>
            </w:r>
            <w:r w:rsidR="00CF390C" w:rsidRPr="009A1BE7">
              <w:rPr>
                <w:sz w:val="20"/>
                <w:lang w:val="en-GB"/>
              </w:rPr>
              <w:t xml:space="preserve">).  </w:t>
            </w:r>
          </w:p>
          <w:p w14:paraId="4AF8A406" w14:textId="77777777" w:rsidR="00F533FE" w:rsidRPr="009A1BE7" w:rsidRDefault="009053D7" w:rsidP="00FD7872">
            <w:pPr>
              <w:pStyle w:val="Default"/>
              <w:jc w:val="both"/>
              <w:rPr>
                <w:sz w:val="20"/>
              </w:rPr>
            </w:pPr>
            <w:r w:rsidRPr="009A1BE7">
              <w:rPr>
                <w:sz w:val="20"/>
              </w:rPr>
              <w:t>Regulation (EU) 2021/241 Annex VII, I</w:t>
            </w:r>
            <w:r w:rsidR="00F533FE" w:rsidRPr="009A1BE7">
              <w:rPr>
                <w:sz w:val="20"/>
              </w:rPr>
              <w:t>ntervention field 108 Support for the development of digital skills</w:t>
            </w:r>
          </w:p>
        </w:tc>
      </w:tr>
      <w:tr w:rsidR="00FB64C0" w:rsidRPr="00255291" w14:paraId="3A33DD94" w14:textId="77777777" w:rsidTr="009A1BE7">
        <w:tc>
          <w:tcPr>
            <w:tcW w:w="2028" w:type="dxa"/>
          </w:tcPr>
          <w:p w14:paraId="442C71BD" w14:textId="77777777" w:rsidR="00FB64C0" w:rsidRPr="009A1BE7" w:rsidRDefault="00FB64C0" w:rsidP="00FD7872">
            <w:pPr>
              <w:rPr>
                <w:sz w:val="20"/>
              </w:rPr>
            </w:pPr>
            <w:r w:rsidRPr="009A1BE7">
              <w:rPr>
                <w:sz w:val="20"/>
              </w:rPr>
              <w:lastRenderedPageBreak/>
              <w:t>Corresponding Structural Funds indicator(s)</w:t>
            </w:r>
          </w:p>
        </w:tc>
        <w:tc>
          <w:tcPr>
            <w:tcW w:w="7447" w:type="dxa"/>
          </w:tcPr>
          <w:p w14:paraId="781434A0" w14:textId="77777777" w:rsidR="00FB64C0" w:rsidRPr="009A1BE7" w:rsidRDefault="00FB64C0" w:rsidP="00FD7872">
            <w:pPr>
              <w:rPr>
                <w:sz w:val="20"/>
              </w:rPr>
            </w:pPr>
            <w:r w:rsidRPr="009A1BE7">
              <w:rPr>
                <w:sz w:val="20"/>
              </w:rPr>
              <w:t>EECR02 Participants in education or training upon leaving</w:t>
            </w:r>
          </w:p>
        </w:tc>
      </w:tr>
    </w:tbl>
    <w:p w14:paraId="0A44DAE6" w14:textId="23EAA8C0" w:rsidR="00FB64C0" w:rsidRPr="00255291" w:rsidRDefault="001C789D" w:rsidP="00FB64C0">
      <w:pPr>
        <w:rPr>
          <w:b/>
        </w:rPr>
      </w:pPr>
      <w:r w:rsidRPr="00255291">
        <w:rPr>
          <w:b/>
        </w:rPr>
        <w:br w:type="page"/>
      </w:r>
    </w:p>
    <w:p w14:paraId="09A0DDCB" w14:textId="30AF7BED" w:rsidR="00FB64C0" w:rsidRDefault="00FB64C0" w:rsidP="001F5716">
      <w:pPr>
        <w:pStyle w:val="Heading2"/>
        <w:numPr>
          <w:ilvl w:val="1"/>
          <w:numId w:val="43"/>
        </w:numPr>
        <w:rPr>
          <w:rFonts w:ascii="Times New Roman" w:hAnsi="Times New Roman" w:cs="Times New Roman"/>
          <w:b/>
          <w:color w:val="auto"/>
        </w:rPr>
      </w:pPr>
      <w:bookmarkStart w:id="19" w:name="_Toc93393186"/>
      <w:r w:rsidRPr="00255291">
        <w:rPr>
          <w:rFonts w:ascii="Times New Roman" w:hAnsi="Times New Roman" w:cs="Times New Roman"/>
          <w:b/>
          <w:color w:val="auto"/>
        </w:rPr>
        <w:lastRenderedPageBreak/>
        <w:t>Number of people in employment or engaged in job searching activities</w:t>
      </w:r>
      <w:bookmarkEnd w:id="19"/>
    </w:p>
    <w:p w14:paraId="499C2154" w14:textId="77777777" w:rsidR="001F5716" w:rsidRPr="001F5716" w:rsidRDefault="001F5716" w:rsidP="001F5716"/>
    <w:tbl>
      <w:tblPr>
        <w:tblStyle w:val="TableGrid"/>
        <w:tblW w:w="9475" w:type="dxa"/>
        <w:tblLook w:val="04A0" w:firstRow="1" w:lastRow="0" w:firstColumn="1" w:lastColumn="0" w:noHBand="0" w:noVBand="1"/>
      </w:tblPr>
      <w:tblGrid>
        <w:gridCol w:w="2028"/>
        <w:gridCol w:w="7447"/>
      </w:tblGrid>
      <w:tr w:rsidR="00FB64C0" w:rsidRPr="00255291" w14:paraId="7A60B339" w14:textId="77777777" w:rsidTr="009A1BE7">
        <w:tc>
          <w:tcPr>
            <w:tcW w:w="2028" w:type="dxa"/>
          </w:tcPr>
          <w:p w14:paraId="7B697B1A" w14:textId="77777777" w:rsidR="00FB64C0" w:rsidRPr="009A1BE7" w:rsidRDefault="00FB64C0" w:rsidP="00FD7872">
            <w:pPr>
              <w:rPr>
                <w:sz w:val="20"/>
              </w:rPr>
            </w:pPr>
            <w:r w:rsidRPr="009A1BE7">
              <w:rPr>
                <w:sz w:val="20"/>
              </w:rPr>
              <w:t>Indicator code</w:t>
            </w:r>
          </w:p>
        </w:tc>
        <w:tc>
          <w:tcPr>
            <w:tcW w:w="7447" w:type="dxa"/>
          </w:tcPr>
          <w:p w14:paraId="18A483CB" w14:textId="77777777" w:rsidR="00FB64C0" w:rsidRPr="009A1BE7" w:rsidRDefault="00FB64C0" w:rsidP="00FD7872">
            <w:pPr>
              <w:pStyle w:val="Default"/>
              <w:jc w:val="both"/>
              <w:rPr>
                <w:sz w:val="20"/>
                <w:szCs w:val="23"/>
              </w:rPr>
            </w:pPr>
            <w:r w:rsidRPr="009A1BE7">
              <w:rPr>
                <w:sz w:val="20"/>
              </w:rPr>
              <w:t>RRFCI11</w:t>
            </w:r>
          </w:p>
        </w:tc>
      </w:tr>
      <w:tr w:rsidR="00FB64C0" w:rsidRPr="00255291" w14:paraId="21818A6C" w14:textId="77777777" w:rsidTr="009A1BE7">
        <w:tc>
          <w:tcPr>
            <w:tcW w:w="2028" w:type="dxa"/>
            <w:shd w:val="clear" w:color="auto" w:fill="auto"/>
          </w:tcPr>
          <w:p w14:paraId="6AC87F8D" w14:textId="77777777" w:rsidR="00FB64C0" w:rsidRPr="009A1BE7" w:rsidRDefault="00FB64C0" w:rsidP="00FD7872">
            <w:pPr>
              <w:rPr>
                <w:sz w:val="20"/>
              </w:rPr>
            </w:pPr>
            <w:r w:rsidRPr="009A1BE7">
              <w:rPr>
                <w:sz w:val="20"/>
              </w:rPr>
              <w:t>Indicator name</w:t>
            </w:r>
          </w:p>
        </w:tc>
        <w:tc>
          <w:tcPr>
            <w:tcW w:w="7447" w:type="dxa"/>
            <w:shd w:val="clear" w:color="auto" w:fill="auto"/>
          </w:tcPr>
          <w:p w14:paraId="28D22927" w14:textId="77777777" w:rsidR="00FB64C0" w:rsidRPr="009A1BE7" w:rsidRDefault="00FB64C0" w:rsidP="00FD7872">
            <w:pPr>
              <w:rPr>
                <w:sz w:val="20"/>
              </w:rPr>
            </w:pPr>
            <w:r w:rsidRPr="009A1BE7">
              <w:rPr>
                <w:sz w:val="20"/>
              </w:rPr>
              <w:t>Number of people in employment or engaged in job searching activities</w:t>
            </w:r>
          </w:p>
        </w:tc>
      </w:tr>
      <w:tr w:rsidR="00FB64C0" w:rsidRPr="00255291" w14:paraId="20401C94" w14:textId="77777777" w:rsidTr="009A1BE7">
        <w:tc>
          <w:tcPr>
            <w:tcW w:w="2028" w:type="dxa"/>
            <w:shd w:val="clear" w:color="auto" w:fill="auto"/>
          </w:tcPr>
          <w:p w14:paraId="01A80F21" w14:textId="77777777" w:rsidR="00FB64C0" w:rsidRPr="009A1BE7" w:rsidRDefault="00FB64C0" w:rsidP="00FD7872">
            <w:pPr>
              <w:rPr>
                <w:sz w:val="20"/>
              </w:rPr>
            </w:pPr>
            <w:r w:rsidRPr="009A1BE7">
              <w:rPr>
                <w:sz w:val="20"/>
              </w:rPr>
              <w:t>Measurement unit</w:t>
            </w:r>
          </w:p>
        </w:tc>
        <w:tc>
          <w:tcPr>
            <w:tcW w:w="7447" w:type="dxa"/>
            <w:shd w:val="clear" w:color="auto" w:fill="auto"/>
          </w:tcPr>
          <w:p w14:paraId="275919D1" w14:textId="77777777" w:rsidR="00FB64C0" w:rsidRPr="009A1BE7" w:rsidRDefault="00FB64C0" w:rsidP="00FD7872">
            <w:pPr>
              <w:rPr>
                <w:sz w:val="20"/>
              </w:rPr>
            </w:pPr>
            <w:r w:rsidRPr="009A1BE7">
              <w:rPr>
                <w:sz w:val="20"/>
              </w:rPr>
              <w:t>Persons</w:t>
            </w:r>
          </w:p>
        </w:tc>
      </w:tr>
      <w:tr w:rsidR="00D0748F" w:rsidRPr="00255291" w14:paraId="6CD3B786" w14:textId="77777777" w:rsidTr="009A1BE7">
        <w:tc>
          <w:tcPr>
            <w:tcW w:w="2028" w:type="dxa"/>
            <w:shd w:val="clear" w:color="auto" w:fill="auto"/>
          </w:tcPr>
          <w:p w14:paraId="49D5BB3A" w14:textId="73B218F3" w:rsidR="00D0748F" w:rsidRPr="009A1BE7" w:rsidRDefault="00D0748F" w:rsidP="00FD7872">
            <w:pPr>
              <w:rPr>
                <w:sz w:val="20"/>
              </w:rPr>
            </w:pPr>
            <w:r w:rsidRPr="009A1BE7">
              <w:rPr>
                <w:sz w:val="20"/>
              </w:rPr>
              <w:t>Type of indicator</w:t>
            </w:r>
          </w:p>
        </w:tc>
        <w:tc>
          <w:tcPr>
            <w:tcW w:w="7447" w:type="dxa"/>
            <w:shd w:val="clear" w:color="auto" w:fill="auto"/>
          </w:tcPr>
          <w:p w14:paraId="277C7651" w14:textId="4B12036E" w:rsidR="00D0748F" w:rsidRPr="009A1BE7" w:rsidRDefault="00D0748F" w:rsidP="00FD7872">
            <w:pPr>
              <w:rPr>
                <w:sz w:val="20"/>
              </w:rPr>
            </w:pPr>
            <w:r w:rsidRPr="009A1BE7">
              <w:rPr>
                <w:sz w:val="20"/>
              </w:rPr>
              <w:t>Flow</w:t>
            </w:r>
          </w:p>
        </w:tc>
      </w:tr>
      <w:tr w:rsidR="00921542" w:rsidRPr="00255291" w14:paraId="21D0CBAC" w14:textId="77777777" w:rsidTr="009A1BE7">
        <w:tc>
          <w:tcPr>
            <w:tcW w:w="2028" w:type="dxa"/>
            <w:shd w:val="clear" w:color="auto" w:fill="auto"/>
          </w:tcPr>
          <w:p w14:paraId="56951AD7" w14:textId="75732108" w:rsidR="00921542" w:rsidRPr="009A1BE7" w:rsidRDefault="00921542" w:rsidP="00FD7872">
            <w:pPr>
              <w:rPr>
                <w:sz w:val="20"/>
              </w:rPr>
            </w:pPr>
            <w:r w:rsidRPr="009A1BE7">
              <w:rPr>
                <w:sz w:val="20"/>
              </w:rPr>
              <w:t>Baseline</w:t>
            </w:r>
            <w:r w:rsidR="00D0748F" w:rsidRPr="009A1BE7">
              <w:rPr>
                <w:sz w:val="20"/>
              </w:rPr>
              <w:t>-</w:t>
            </w:r>
          </w:p>
        </w:tc>
        <w:tc>
          <w:tcPr>
            <w:tcW w:w="7447" w:type="dxa"/>
            <w:shd w:val="clear" w:color="auto" w:fill="auto"/>
          </w:tcPr>
          <w:p w14:paraId="31338DB9" w14:textId="5E83EB13" w:rsidR="00921542" w:rsidRPr="009A1BE7" w:rsidRDefault="00674F86">
            <w:pPr>
              <w:rPr>
                <w:sz w:val="20"/>
              </w:rPr>
            </w:pPr>
            <w:r w:rsidRPr="009A1BE7">
              <w:rPr>
                <w:sz w:val="20"/>
              </w:rPr>
              <w:t xml:space="preserve"> 0, reset every reporting round</w:t>
            </w:r>
          </w:p>
        </w:tc>
      </w:tr>
      <w:tr w:rsidR="00FB64C0" w:rsidRPr="00255291" w14:paraId="443F83A6" w14:textId="77777777" w:rsidTr="009A1BE7">
        <w:tc>
          <w:tcPr>
            <w:tcW w:w="2028" w:type="dxa"/>
            <w:shd w:val="clear" w:color="auto" w:fill="auto"/>
          </w:tcPr>
          <w:p w14:paraId="62225AAD" w14:textId="77777777" w:rsidR="00FB64C0" w:rsidRPr="009A1BE7" w:rsidRDefault="00FB64C0" w:rsidP="00FD7872">
            <w:pPr>
              <w:rPr>
                <w:sz w:val="20"/>
              </w:rPr>
            </w:pPr>
            <w:r w:rsidRPr="009A1BE7">
              <w:rPr>
                <w:sz w:val="20"/>
              </w:rPr>
              <w:t>RRF Pillars</w:t>
            </w:r>
          </w:p>
        </w:tc>
        <w:tc>
          <w:tcPr>
            <w:tcW w:w="7447" w:type="dxa"/>
            <w:shd w:val="clear" w:color="auto" w:fill="auto"/>
          </w:tcPr>
          <w:p w14:paraId="5AFD8CD7" w14:textId="77777777" w:rsidR="00FB64C0" w:rsidRPr="009A1BE7" w:rsidRDefault="00FB64C0" w:rsidP="00FD7872">
            <w:pPr>
              <w:rPr>
                <w:sz w:val="20"/>
              </w:rPr>
            </w:pPr>
            <w:r w:rsidRPr="009A1BE7">
              <w:rPr>
                <w:sz w:val="20"/>
              </w:rPr>
              <w:t>Pillar 3 Smart, sustainable and inclusive growth</w:t>
            </w:r>
          </w:p>
          <w:p w14:paraId="4C1106D2" w14:textId="77777777" w:rsidR="00FB64C0" w:rsidRPr="009A1BE7" w:rsidRDefault="00FB64C0" w:rsidP="00FD7872">
            <w:pPr>
              <w:rPr>
                <w:sz w:val="20"/>
              </w:rPr>
            </w:pPr>
            <w:r w:rsidRPr="009A1BE7">
              <w:rPr>
                <w:sz w:val="20"/>
              </w:rPr>
              <w:t>Pillar 4 Social and territorial cohesion</w:t>
            </w:r>
          </w:p>
        </w:tc>
      </w:tr>
      <w:tr w:rsidR="00FB64C0" w:rsidRPr="00255291" w14:paraId="2D109E80" w14:textId="77777777" w:rsidTr="009A1BE7">
        <w:tc>
          <w:tcPr>
            <w:tcW w:w="2028" w:type="dxa"/>
            <w:shd w:val="clear" w:color="auto" w:fill="auto"/>
          </w:tcPr>
          <w:p w14:paraId="53AA5D95" w14:textId="77777777" w:rsidR="00FB64C0" w:rsidRPr="009A1BE7" w:rsidRDefault="00FB64C0" w:rsidP="00FD7872">
            <w:pPr>
              <w:rPr>
                <w:sz w:val="20"/>
              </w:rPr>
            </w:pPr>
            <w:r w:rsidRPr="009A1BE7">
              <w:rPr>
                <w:sz w:val="20"/>
              </w:rPr>
              <w:t>Definition and concept</w:t>
            </w:r>
          </w:p>
        </w:tc>
        <w:tc>
          <w:tcPr>
            <w:tcW w:w="7447" w:type="dxa"/>
            <w:shd w:val="clear" w:color="auto" w:fill="auto"/>
          </w:tcPr>
          <w:p w14:paraId="56038749" w14:textId="77777777" w:rsidR="007C1200" w:rsidRPr="009A1BE7" w:rsidRDefault="00FB64C0" w:rsidP="00613EC9">
            <w:pPr>
              <w:rPr>
                <w:sz w:val="20"/>
              </w:rPr>
            </w:pPr>
            <w:r w:rsidRPr="009A1BE7">
              <w:rPr>
                <w:sz w:val="20"/>
              </w:rPr>
              <w:t>Unemployed or inactive persons who have received support by measures under the RRF, and who are in employment, including self-employment, or who were inactive when receiving that support and who are newly engaged in job searching activities, immediately after receiving that support.</w:t>
            </w:r>
            <w:r w:rsidR="007C1200" w:rsidRPr="009A1BE7">
              <w:rPr>
                <w:sz w:val="20"/>
              </w:rPr>
              <w:t xml:space="preserve"> This covers three aggregates:</w:t>
            </w:r>
          </w:p>
          <w:p w14:paraId="262AB68D" w14:textId="273276C7" w:rsidR="007C1200" w:rsidRPr="009A1BE7" w:rsidRDefault="007C1200" w:rsidP="00613EC9">
            <w:pPr>
              <w:pStyle w:val="ListParagraph"/>
              <w:numPr>
                <w:ilvl w:val="0"/>
                <w:numId w:val="47"/>
              </w:numPr>
              <w:rPr>
                <w:sz w:val="20"/>
              </w:rPr>
            </w:pPr>
            <w:r w:rsidRPr="009A1BE7">
              <w:rPr>
                <w:sz w:val="20"/>
              </w:rPr>
              <w:t>people that previously were in unemployment, received support by measures under the RRF and then changed status to employment;</w:t>
            </w:r>
          </w:p>
          <w:p w14:paraId="4FAA04FB" w14:textId="59AB6D43" w:rsidR="007C1200" w:rsidRPr="009A1BE7" w:rsidRDefault="007C1200" w:rsidP="00613EC9">
            <w:pPr>
              <w:pStyle w:val="ListParagraph"/>
              <w:numPr>
                <w:ilvl w:val="0"/>
                <w:numId w:val="47"/>
              </w:numPr>
              <w:rPr>
                <w:sz w:val="20"/>
              </w:rPr>
            </w:pPr>
            <w:r w:rsidRPr="009A1BE7">
              <w:rPr>
                <w:sz w:val="20"/>
              </w:rPr>
              <w:t>people that previously were outside the labour force (inactive), received support by measures under the RRF and then changed status to employment;</w:t>
            </w:r>
          </w:p>
          <w:p w14:paraId="261CCF1E" w14:textId="7D01B52E" w:rsidR="007C1200" w:rsidRPr="009A1BE7" w:rsidRDefault="007C1200" w:rsidP="00613EC9">
            <w:pPr>
              <w:pStyle w:val="ListParagraph"/>
              <w:numPr>
                <w:ilvl w:val="0"/>
                <w:numId w:val="47"/>
              </w:numPr>
              <w:rPr>
                <w:sz w:val="20"/>
              </w:rPr>
            </w:pPr>
            <w:r w:rsidRPr="009A1BE7">
              <w:rPr>
                <w:sz w:val="20"/>
              </w:rPr>
              <w:t>people that previously were outside the labour force (inactive), received support by measures under the RRF and then changed status to unemployment.</w:t>
            </w:r>
          </w:p>
          <w:p w14:paraId="48E0BAFB" w14:textId="0C141025" w:rsidR="00FB64C0" w:rsidRPr="009A1BE7" w:rsidRDefault="00FB64C0" w:rsidP="00FD7872">
            <w:pPr>
              <w:rPr>
                <w:sz w:val="20"/>
              </w:rPr>
            </w:pPr>
            <w:r w:rsidRPr="009A1BE7">
              <w:rPr>
                <w:sz w:val="20"/>
              </w:rPr>
              <w:t>"Engaged in job searching" shall be defined to include persons usually without work</w:t>
            </w:r>
            <w:r w:rsidR="00C85E19" w:rsidRPr="009A1BE7">
              <w:rPr>
                <w:sz w:val="20"/>
              </w:rPr>
              <w:t xml:space="preserve"> (i.e. without a job, but potentially engaged in unremunerated work – such as volunteering activities)</w:t>
            </w:r>
            <w:r w:rsidRPr="009A1BE7">
              <w:rPr>
                <w:sz w:val="20"/>
              </w:rPr>
              <w:t xml:space="preserve">, </w:t>
            </w:r>
            <w:r w:rsidR="00A52387" w:rsidRPr="009A1BE7">
              <w:rPr>
                <w:sz w:val="20"/>
              </w:rPr>
              <w:t xml:space="preserve">immediately </w:t>
            </w:r>
            <w:r w:rsidRPr="009A1BE7">
              <w:rPr>
                <w:sz w:val="20"/>
              </w:rPr>
              <w:t>available for work and actively seeking work</w:t>
            </w:r>
            <w:r w:rsidR="003A3828" w:rsidRPr="009A1BE7">
              <w:rPr>
                <w:sz w:val="20"/>
              </w:rPr>
              <w:t xml:space="preserve"> (</w:t>
            </w:r>
            <w:r w:rsidR="00066BB7" w:rsidRPr="009A1BE7">
              <w:rPr>
                <w:sz w:val="20"/>
              </w:rPr>
              <w:t xml:space="preserve">i.e. </w:t>
            </w:r>
            <w:r w:rsidR="00A52387" w:rsidRPr="009A1BE7">
              <w:rPr>
                <w:sz w:val="20"/>
              </w:rPr>
              <w:t>a job</w:t>
            </w:r>
            <w:r w:rsidR="003A3828" w:rsidRPr="009A1BE7">
              <w:rPr>
                <w:sz w:val="20"/>
              </w:rPr>
              <w:t>)</w:t>
            </w:r>
            <w:r w:rsidRPr="009A1BE7">
              <w:rPr>
                <w:sz w:val="20"/>
              </w:rPr>
              <w:t>, as per the definition of "Unemployed"</w:t>
            </w:r>
            <w:r w:rsidR="00A52387" w:rsidRPr="009A1BE7">
              <w:rPr>
                <w:sz w:val="20"/>
              </w:rPr>
              <w:t xml:space="preserve"> laid down in the EU regulation for the EU Labour Force Survey</w:t>
            </w:r>
            <w:r w:rsidRPr="009A1BE7">
              <w:rPr>
                <w:sz w:val="20"/>
              </w:rPr>
              <w:t>.</w:t>
            </w:r>
            <w:r w:rsidR="00A52387" w:rsidRPr="009A1BE7">
              <w:rPr>
                <w:sz w:val="20"/>
              </w:rPr>
              <w:t xml:space="preserve"> </w:t>
            </w:r>
            <w:r w:rsidR="00C85E19" w:rsidRPr="009A1BE7">
              <w:rPr>
                <w:sz w:val="20"/>
              </w:rPr>
              <w:t xml:space="preserve"> </w:t>
            </w:r>
            <w:r w:rsidR="00A52387" w:rsidRPr="009A1BE7">
              <w:rPr>
                <w:sz w:val="20"/>
              </w:rPr>
              <w:t>In addition, p</w:t>
            </w:r>
            <w:r w:rsidRPr="009A1BE7">
              <w:rPr>
                <w:sz w:val="20"/>
              </w:rPr>
              <w:t xml:space="preserve">ersons who have newly registered with the public employment services as jobseeker shall always be counted </w:t>
            </w:r>
            <w:r w:rsidR="00A52387" w:rsidRPr="009A1BE7">
              <w:rPr>
                <w:sz w:val="20"/>
              </w:rPr>
              <w:t xml:space="preserve">as engaged in job searching, </w:t>
            </w:r>
            <w:r w:rsidRPr="009A1BE7">
              <w:rPr>
                <w:sz w:val="20"/>
              </w:rPr>
              <w:t>even if they are not immediately available for work.</w:t>
            </w:r>
          </w:p>
          <w:p w14:paraId="6415A2BA" w14:textId="1AC68ECD" w:rsidR="00DF4B25" w:rsidRPr="009A1BE7" w:rsidRDefault="00A17CD4" w:rsidP="00FD7872">
            <w:pPr>
              <w:rPr>
                <w:sz w:val="20"/>
              </w:rPr>
            </w:pPr>
            <w:r w:rsidRPr="009A1BE7">
              <w:rPr>
                <w:sz w:val="20"/>
              </w:rPr>
              <w:t>For the purpose of this guidance “Unemployed” are persons without a job, available for work and engaged in job searching activities. In addition, p</w:t>
            </w:r>
            <w:r w:rsidR="00DF4B25" w:rsidRPr="009A1BE7">
              <w:rPr>
                <w:sz w:val="20"/>
              </w:rPr>
              <w:t>ersons considered as registered unemployed according to national definitions are always included here even if they do not fulfil all three of these criteria.Inactive are persons currently not part of the labour force (in the sense that they are not employed or unemployed according to the definitions provided).</w:t>
            </w:r>
          </w:p>
        </w:tc>
      </w:tr>
      <w:tr w:rsidR="00FB64C0" w:rsidRPr="00255291" w14:paraId="7E5382BB" w14:textId="77777777" w:rsidTr="009A1BE7">
        <w:tc>
          <w:tcPr>
            <w:tcW w:w="2028" w:type="dxa"/>
          </w:tcPr>
          <w:p w14:paraId="719D61AC" w14:textId="77777777" w:rsidR="00FB64C0" w:rsidRPr="009A1BE7" w:rsidRDefault="00FB64C0" w:rsidP="00FD7872">
            <w:pPr>
              <w:rPr>
                <w:sz w:val="20"/>
              </w:rPr>
            </w:pPr>
            <w:r w:rsidRPr="009A1BE7">
              <w:rPr>
                <w:sz w:val="20"/>
              </w:rPr>
              <w:t>Time measurement</w:t>
            </w:r>
          </w:p>
        </w:tc>
        <w:tc>
          <w:tcPr>
            <w:tcW w:w="7447" w:type="dxa"/>
          </w:tcPr>
          <w:p w14:paraId="3DB90722" w14:textId="3C86C62E" w:rsidR="00FB64C0" w:rsidRPr="009A1BE7" w:rsidRDefault="00FB64C0" w:rsidP="001C789D">
            <w:pPr>
              <w:rPr>
                <w:sz w:val="20"/>
              </w:rPr>
            </w:pPr>
            <w:r w:rsidRPr="009A1BE7">
              <w:rPr>
                <w:sz w:val="20"/>
              </w:rPr>
              <w:t xml:space="preserve">Participant shall be counted upon the starting date of </w:t>
            </w:r>
            <w:r w:rsidR="00760351" w:rsidRPr="009A1BE7">
              <w:rPr>
                <w:sz w:val="20"/>
              </w:rPr>
              <w:t xml:space="preserve">their </w:t>
            </w:r>
            <w:r w:rsidRPr="009A1BE7">
              <w:rPr>
                <w:sz w:val="20"/>
              </w:rPr>
              <w:t>activity</w:t>
            </w:r>
            <w:r w:rsidR="00760351" w:rsidRPr="009A1BE7">
              <w:rPr>
                <w:sz w:val="20"/>
              </w:rPr>
              <w:t xml:space="preserve"> (searching or employment</w:t>
            </w:r>
            <w:r w:rsidR="0053610B" w:rsidRPr="009A1BE7">
              <w:rPr>
                <w:sz w:val="20"/>
              </w:rPr>
              <w:t>)</w:t>
            </w:r>
            <w:r w:rsidRPr="009A1BE7">
              <w:rPr>
                <w:sz w:val="20"/>
              </w:rPr>
              <w:t>.</w:t>
            </w:r>
            <w:r w:rsidR="003943C6" w:rsidRPr="009A1BE7">
              <w:rPr>
                <w:sz w:val="20"/>
              </w:rPr>
              <w:t xml:space="preserve"> </w:t>
            </w:r>
          </w:p>
        </w:tc>
      </w:tr>
      <w:tr w:rsidR="001C789D" w:rsidRPr="00255291" w14:paraId="2EAA7062" w14:textId="77777777" w:rsidTr="009A1BE7">
        <w:tc>
          <w:tcPr>
            <w:tcW w:w="2028" w:type="dxa"/>
          </w:tcPr>
          <w:p w14:paraId="15A55BDA" w14:textId="1A68F4EF" w:rsidR="001C789D" w:rsidRPr="009A1BE7" w:rsidRDefault="001C789D" w:rsidP="00FD7872">
            <w:pPr>
              <w:rPr>
                <w:sz w:val="20"/>
              </w:rPr>
            </w:pPr>
            <w:r w:rsidRPr="009A1BE7">
              <w:rPr>
                <w:sz w:val="20"/>
              </w:rPr>
              <w:t>Counting methodology</w:t>
            </w:r>
          </w:p>
        </w:tc>
        <w:tc>
          <w:tcPr>
            <w:tcW w:w="7447" w:type="dxa"/>
          </w:tcPr>
          <w:p w14:paraId="03C16E20" w14:textId="06E32346" w:rsidR="001C789D" w:rsidRPr="009A1BE7" w:rsidRDefault="001C789D" w:rsidP="00B12F08">
            <w:pPr>
              <w:rPr>
                <w:sz w:val="20"/>
              </w:rPr>
            </w:pPr>
            <w:r w:rsidRPr="009A1BE7">
              <w:rPr>
                <w:sz w:val="20"/>
              </w:rPr>
              <w:t xml:space="preserve">One participant can only be reported once over the reporting period </w:t>
            </w:r>
            <w:r w:rsidRPr="009A1BE7">
              <w:rPr>
                <w:sz w:val="20"/>
                <w:lang w:val="en-IE"/>
              </w:rPr>
              <w:t>(as defined in the general principles)</w:t>
            </w:r>
            <w:r w:rsidRPr="009A1BE7">
              <w:rPr>
                <w:sz w:val="20"/>
              </w:rPr>
              <w:t xml:space="preserve">. An individual can however be reported in another reporting period even if it has been reported in a previous one, if the individual has benefited from an additional support from RRF and has transitioned to employment or searching activity.  </w:t>
            </w:r>
          </w:p>
        </w:tc>
      </w:tr>
      <w:tr w:rsidR="00FB64C0" w:rsidRPr="00255291" w14:paraId="770F248F" w14:textId="77777777" w:rsidTr="009A1BE7">
        <w:tc>
          <w:tcPr>
            <w:tcW w:w="2028" w:type="dxa"/>
          </w:tcPr>
          <w:p w14:paraId="64CB48E7" w14:textId="77777777" w:rsidR="00FB64C0" w:rsidRPr="009A1BE7" w:rsidRDefault="00FB64C0" w:rsidP="00FD7872">
            <w:pPr>
              <w:rPr>
                <w:sz w:val="20"/>
              </w:rPr>
            </w:pPr>
            <w:r w:rsidRPr="009A1BE7">
              <w:rPr>
                <w:sz w:val="20"/>
              </w:rPr>
              <w:t xml:space="preserve">Disaggregation </w:t>
            </w:r>
          </w:p>
        </w:tc>
        <w:tc>
          <w:tcPr>
            <w:tcW w:w="7447" w:type="dxa"/>
          </w:tcPr>
          <w:p w14:paraId="65B8A141" w14:textId="77777777" w:rsidR="00FB64C0" w:rsidRPr="009A1BE7" w:rsidRDefault="008E2EE3" w:rsidP="008E2EE3">
            <w:pPr>
              <w:rPr>
                <w:sz w:val="20"/>
              </w:rPr>
            </w:pPr>
            <w:r w:rsidRPr="009A1BE7">
              <w:rPr>
                <w:sz w:val="20"/>
              </w:rPr>
              <w:t xml:space="preserve">It shall be disaggregated by </w:t>
            </w:r>
            <w:r w:rsidR="00034E68" w:rsidRPr="009A1BE7">
              <w:rPr>
                <w:sz w:val="20"/>
              </w:rPr>
              <w:t>gender and age</w:t>
            </w:r>
            <w:r w:rsidR="00FB64C0" w:rsidRPr="009A1BE7">
              <w:rPr>
                <w:sz w:val="20"/>
              </w:rPr>
              <w:t>.</w:t>
            </w:r>
          </w:p>
        </w:tc>
      </w:tr>
      <w:tr w:rsidR="00FB64C0" w:rsidRPr="00255291" w14:paraId="02297D56" w14:textId="77777777" w:rsidTr="009A1BE7">
        <w:tc>
          <w:tcPr>
            <w:tcW w:w="2028" w:type="dxa"/>
          </w:tcPr>
          <w:p w14:paraId="1AFA7C03" w14:textId="77777777" w:rsidR="00FB64C0" w:rsidRPr="009A1BE7" w:rsidRDefault="00FB64C0" w:rsidP="00FD7872">
            <w:pPr>
              <w:rPr>
                <w:sz w:val="20"/>
              </w:rPr>
            </w:pPr>
            <w:r w:rsidRPr="009A1BE7">
              <w:rPr>
                <w:sz w:val="20"/>
              </w:rPr>
              <w:t xml:space="preserve">References </w:t>
            </w:r>
          </w:p>
        </w:tc>
        <w:tc>
          <w:tcPr>
            <w:tcW w:w="7447" w:type="dxa"/>
          </w:tcPr>
          <w:p w14:paraId="16742E86" w14:textId="77777777" w:rsidR="00DF4B25" w:rsidRPr="009A1BE7" w:rsidRDefault="00DF4B25" w:rsidP="00FD7872">
            <w:pPr>
              <w:pStyle w:val="Default"/>
              <w:jc w:val="both"/>
              <w:rPr>
                <w:sz w:val="20"/>
              </w:rPr>
            </w:pPr>
            <w:r w:rsidRPr="009A1BE7">
              <w:rPr>
                <w:sz w:val="20"/>
              </w:rPr>
              <w:t>§18 and §20 in Directorate-General for Employment, Social Affairs and Inclusion, Labour market policy (LMP) statistics – Methodology 2018</w:t>
            </w:r>
          </w:p>
        </w:tc>
      </w:tr>
      <w:tr w:rsidR="00FB64C0" w:rsidRPr="00255291" w14:paraId="697F4094" w14:textId="77777777" w:rsidTr="009A1BE7">
        <w:tc>
          <w:tcPr>
            <w:tcW w:w="2028" w:type="dxa"/>
          </w:tcPr>
          <w:p w14:paraId="0CB9F7A1" w14:textId="77777777" w:rsidR="00FB64C0" w:rsidRPr="009A1BE7" w:rsidRDefault="00FB64C0" w:rsidP="00FD7872">
            <w:pPr>
              <w:rPr>
                <w:sz w:val="20"/>
              </w:rPr>
            </w:pPr>
            <w:r w:rsidRPr="009A1BE7">
              <w:rPr>
                <w:sz w:val="20"/>
              </w:rPr>
              <w:lastRenderedPageBreak/>
              <w:t>Corresponding Structural Funds indicator(s)</w:t>
            </w:r>
          </w:p>
        </w:tc>
        <w:tc>
          <w:tcPr>
            <w:tcW w:w="7447" w:type="dxa"/>
          </w:tcPr>
          <w:p w14:paraId="555D957C" w14:textId="77777777" w:rsidR="00FB64C0" w:rsidRPr="009A1BE7" w:rsidRDefault="00FB64C0">
            <w:pPr>
              <w:rPr>
                <w:color w:val="000000"/>
                <w:sz w:val="20"/>
                <w:lang w:val="en-US"/>
              </w:rPr>
            </w:pPr>
            <w:r w:rsidRPr="009A1BE7">
              <w:rPr>
                <w:color w:val="000000"/>
                <w:sz w:val="20"/>
                <w:lang w:val="en-US"/>
              </w:rPr>
              <w:t xml:space="preserve">EECR04 Participants in employment upon leaving </w:t>
            </w:r>
          </w:p>
          <w:p w14:paraId="023C9726" w14:textId="77777777" w:rsidR="00FB64C0" w:rsidRPr="009A1BE7" w:rsidRDefault="00FB64C0" w:rsidP="00FD7872">
            <w:pPr>
              <w:rPr>
                <w:sz w:val="20"/>
              </w:rPr>
            </w:pPr>
            <w:r w:rsidRPr="009A1BE7">
              <w:rPr>
                <w:color w:val="000000"/>
                <w:sz w:val="20"/>
                <w:lang w:val="en-US"/>
              </w:rPr>
              <w:t>EECR01 Participants engaged in job searching activities upon leaving</w:t>
            </w:r>
          </w:p>
        </w:tc>
      </w:tr>
    </w:tbl>
    <w:p w14:paraId="161D0569" w14:textId="72D1BA7F" w:rsidR="00FB64C0" w:rsidRPr="00255291" w:rsidRDefault="001F5716" w:rsidP="00FB64C0">
      <w:pPr>
        <w:rPr>
          <w:b/>
        </w:rPr>
      </w:pPr>
      <w:r>
        <w:rPr>
          <w:b/>
        </w:rPr>
        <w:br w:type="page"/>
      </w:r>
    </w:p>
    <w:p w14:paraId="3404EBF9" w14:textId="50590A2E" w:rsidR="00FB64C0" w:rsidRDefault="00FB64C0" w:rsidP="001F5716">
      <w:pPr>
        <w:pStyle w:val="Heading2"/>
        <w:numPr>
          <w:ilvl w:val="1"/>
          <w:numId w:val="43"/>
        </w:numPr>
        <w:rPr>
          <w:rFonts w:ascii="Times New Roman" w:hAnsi="Times New Roman" w:cs="Times New Roman"/>
          <w:b/>
          <w:color w:val="auto"/>
        </w:rPr>
      </w:pPr>
      <w:bookmarkStart w:id="20" w:name="_Toc93393187"/>
      <w:r w:rsidRPr="00255291">
        <w:rPr>
          <w:rFonts w:ascii="Times New Roman" w:hAnsi="Times New Roman" w:cs="Times New Roman"/>
          <w:b/>
          <w:color w:val="auto"/>
        </w:rPr>
        <w:lastRenderedPageBreak/>
        <w:t>Capacity of new or modernised health care facilities</w:t>
      </w:r>
      <w:bookmarkEnd w:id="20"/>
    </w:p>
    <w:p w14:paraId="042A7D87" w14:textId="77777777" w:rsidR="001F5716" w:rsidRPr="001F5716" w:rsidRDefault="001F5716" w:rsidP="001F5716"/>
    <w:tbl>
      <w:tblPr>
        <w:tblStyle w:val="TableGrid"/>
        <w:tblW w:w="9475" w:type="dxa"/>
        <w:tblLook w:val="04A0" w:firstRow="1" w:lastRow="0" w:firstColumn="1" w:lastColumn="0" w:noHBand="0" w:noVBand="1"/>
      </w:tblPr>
      <w:tblGrid>
        <w:gridCol w:w="2028"/>
        <w:gridCol w:w="7447"/>
      </w:tblGrid>
      <w:tr w:rsidR="00FB64C0" w:rsidRPr="00255291" w14:paraId="0A6C918A" w14:textId="77777777" w:rsidTr="009A1BE7">
        <w:tc>
          <w:tcPr>
            <w:tcW w:w="2028" w:type="dxa"/>
          </w:tcPr>
          <w:p w14:paraId="3BDD761D" w14:textId="77777777" w:rsidR="00FB64C0" w:rsidRPr="009A1BE7" w:rsidRDefault="00FB64C0" w:rsidP="00FD7872">
            <w:pPr>
              <w:rPr>
                <w:sz w:val="20"/>
              </w:rPr>
            </w:pPr>
            <w:r w:rsidRPr="009A1BE7">
              <w:rPr>
                <w:sz w:val="20"/>
              </w:rPr>
              <w:t>Indicator code</w:t>
            </w:r>
          </w:p>
        </w:tc>
        <w:tc>
          <w:tcPr>
            <w:tcW w:w="7447" w:type="dxa"/>
          </w:tcPr>
          <w:p w14:paraId="3A091B64" w14:textId="77777777" w:rsidR="00FB64C0" w:rsidRPr="009A1BE7" w:rsidRDefault="00FB64C0" w:rsidP="00FD7872">
            <w:pPr>
              <w:pStyle w:val="Default"/>
              <w:jc w:val="both"/>
              <w:rPr>
                <w:sz w:val="20"/>
                <w:szCs w:val="23"/>
              </w:rPr>
            </w:pPr>
            <w:r w:rsidRPr="009A1BE7">
              <w:rPr>
                <w:sz w:val="20"/>
              </w:rPr>
              <w:t>RRFCI12</w:t>
            </w:r>
          </w:p>
        </w:tc>
      </w:tr>
      <w:tr w:rsidR="00FB64C0" w:rsidRPr="00255291" w14:paraId="53BF2034" w14:textId="77777777" w:rsidTr="009A1BE7">
        <w:tc>
          <w:tcPr>
            <w:tcW w:w="2028" w:type="dxa"/>
            <w:shd w:val="clear" w:color="auto" w:fill="auto"/>
          </w:tcPr>
          <w:p w14:paraId="0218162E" w14:textId="77777777" w:rsidR="00FB64C0" w:rsidRPr="009A1BE7" w:rsidRDefault="00FB64C0" w:rsidP="00FD7872">
            <w:pPr>
              <w:rPr>
                <w:sz w:val="20"/>
              </w:rPr>
            </w:pPr>
            <w:r w:rsidRPr="009A1BE7">
              <w:rPr>
                <w:sz w:val="20"/>
              </w:rPr>
              <w:t>Indicator name</w:t>
            </w:r>
          </w:p>
        </w:tc>
        <w:tc>
          <w:tcPr>
            <w:tcW w:w="7447" w:type="dxa"/>
            <w:shd w:val="clear" w:color="auto" w:fill="auto"/>
          </w:tcPr>
          <w:p w14:paraId="71179B47" w14:textId="77777777" w:rsidR="00FB64C0" w:rsidRPr="009A1BE7" w:rsidRDefault="00FB64C0" w:rsidP="00FD7872">
            <w:pPr>
              <w:rPr>
                <w:sz w:val="20"/>
              </w:rPr>
            </w:pPr>
            <w:r w:rsidRPr="009A1BE7">
              <w:rPr>
                <w:sz w:val="20"/>
              </w:rPr>
              <w:t xml:space="preserve">Capacity of new or modernised health care facilities </w:t>
            </w:r>
          </w:p>
          <w:p w14:paraId="31ACF852" w14:textId="77777777" w:rsidR="00FB64C0" w:rsidRPr="009A1BE7" w:rsidRDefault="00FB64C0" w:rsidP="00FD7872">
            <w:pPr>
              <w:rPr>
                <w:sz w:val="20"/>
              </w:rPr>
            </w:pPr>
          </w:p>
        </w:tc>
      </w:tr>
      <w:tr w:rsidR="00FB64C0" w:rsidRPr="00255291" w14:paraId="5A178388" w14:textId="77777777" w:rsidTr="009A1BE7">
        <w:tc>
          <w:tcPr>
            <w:tcW w:w="2028" w:type="dxa"/>
            <w:shd w:val="clear" w:color="auto" w:fill="auto"/>
          </w:tcPr>
          <w:p w14:paraId="6643507E" w14:textId="77777777" w:rsidR="00FB64C0" w:rsidRPr="009A1BE7" w:rsidRDefault="00FB64C0" w:rsidP="00FD7872">
            <w:pPr>
              <w:rPr>
                <w:sz w:val="20"/>
              </w:rPr>
            </w:pPr>
            <w:r w:rsidRPr="009A1BE7">
              <w:rPr>
                <w:sz w:val="20"/>
              </w:rPr>
              <w:t>Measurement unit</w:t>
            </w:r>
          </w:p>
        </w:tc>
        <w:tc>
          <w:tcPr>
            <w:tcW w:w="7447" w:type="dxa"/>
            <w:shd w:val="clear" w:color="auto" w:fill="auto"/>
          </w:tcPr>
          <w:p w14:paraId="3F73D74D" w14:textId="77777777" w:rsidR="00FB64C0" w:rsidRPr="009A1BE7" w:rsidRDefault="00FB64C0" w:rsidP="00FD7872">
            <w:pPr>
              <w:rPr>
                <w:sz w:val="20"/>
              </w:rPr>
            </w:pPr>
            <w:r w:rsidRPr="009A1BE7">
              <w:rPr>
                <w:sz w:val="20"/>
              </w:rPr>
              <w:t>Persons / year</w:t>
            </w:r>
          </w:p>
        </w:tc>
      </w:tr>
      <w:tr w:rsidR="00D0748F" w:rsidRPr="00255291" w14:paraId="6929FE35" w14:textId="77777777" w:rsidTr="009A1BE7">
        <w:tc>
          <w:tcPr>
            <w:tcW w:w="2028" w:type="dxa"/>
            <w:shd w:val="clear" w:color="auto" w:fill="auto"/>
          </w:tcPr>
          <w:p w14:paraId="7F4597F9" w14:textId="289EA2E2" w:rsidR="00D0748F" w:rsidRPr="009A1BE7" w:rsidRDefault="00D0748F" w:rsidP="00FD7872">
            <w:pPr>
              <w:rPr>
                <w:sz w:val="20"/>
              </w:rPr>
            </w:pPr>
            <w:r w:rsidRPr="009A1BE7">
              <w:rPr>
                <w:sz w:val="20"/>
              </w:rPr>
              <w:t>Type of indicator</w:t>
            </w:r>
          </w:p>
        </w:tc>
        <w:tc>
          <w:tcPr>
            <w:tcW w:w="7447" w:type="dxa"/>
            <w:shd w:val="clear" w:color="auto" w:fill="auto"/>
          </w:tcPr>
          <w:p w14:paraId="2BE41C9A" w14:textId="00FCCAC0" w:rsidR="00D0748F" w:rsidRPr="009A1BE7" w:rsidRDefault="00D0748F" w:rsidP="00FD7872">
            <w:pPr>
              <w:rPr>
                <w:sz w:val="20"/>
              </w:rPr>
            </w:pPr>
            <w:r w:rsidRPr="009A1BE7">
              <w:rPr>
                <w:sz w:val="20"/>
              </w:rPr>
              <w:t>Stock</w:t>
            </w:r>
          </w:p>
        </w:tc>
      </w:tr>
      <w:tr w:rsidR="00FB64C0" w:rsidRPr="00255291" w14:paraId="08ECF271" w14:textId="77777777" w:rsidTr="009A1BE7">
        <w:tc>
          <w:tcPr>
            <w:tcW w:w="2028" w:type="dxa"/>
            <w:shd w:val="clear" w:color="auto" w:fill="auto"/>
          </w:tcPr>
          <w:p w14:paraId="531DDB16" w14:textId="77777777" w:rsidR="00FB64C0" w:rsidRPr="009A1BE7" w:rsidRDefault="00FB64C0" w:rsidP="00FD7872">
            <w:pPr>
              <w:rPr>
                <w:sz w:val="20"/>
              </w:rPr>
            </w:pPr>
            <w:r w:rsidRPr="009A1BE7">
              <w:rPr>
                <w:sz w:val="20"/>
              </w:rPr>
              <w:t xml:space="preserve">Baseline </w:t>
            </w:r>
          </w:p>
        </w:tc>
        <w:tc>
          <w:tcPr>
            <w:tcW w:w="7447" w:type="dxa"/>
            <w:shd w:val="clear" w:color="auto" w:fill="auto"/>
          </w:tcPr>
          <w:p w14:paraId="3B6ABD4C" w14:textId="05E5C389" w:rsidR="00EE69DE" w:rsidRPr="009A1BE7" w:rsidRDefault="001C789D" w:rsidP="00C80278">
            <w:pPr>
              <w:rPr>
                <w:sz w:val="20"/>
              </w:rPr>
            </w:pPr>
            <w:r w:rsidRPr="009A1BE7">
              <w:rPr>
                <w:sz w:val="20"/>
              </w:rPr>
              <w:t>I</w:t>
            </w:r>
            <w:r w:rsidR="008D73F0" w:rsidRPr="009A1BE7">
              <w:rPr>
                <w:sz w:val="20"/>
              </w:rPr>
              <w:t>nitially 0, subsequently adjusted to the achieved value of the previous reporting round</w:t>
            </w:r>
          </w:p>
        </w:tc>
      </w:tr>
      <w:tr w:rsidR="00FB64C0" w:rsidRPr="00255291" w14:paraId="2EDB52A0" w14:textId="77777777" w:rsidTr="009A1BE7">
        <w:tc>
          <w:tcPr>
            <w:tcW w:w="2028" w:type="dxa"/>
            <w:shd w:val="clear" w:color="auto" w:fill="auto"/>
          </w:tcPr>
          <w:p w14:paraId="051D86C3" w14:textId="77777777" w:rsidR="00FB64C0" w:rsidRPr="009A1BE7" w:rsidRDefault="00FB64C0" w:rsidP="00FD7872">
            <w:pPr>
              <w:rPr>
                <w:sz w:val="20"/>
              </w:rPr>
            </w:pPr>
            <w:r w:rsidRPr="009A1BE7">
              <w:rPr>
                <w:sz w:val="20"/>
              </w:rPr>
              <w:t>RRF Pillars</w:t>
            </w:r>
          </w:p>
        </w:tc>
        <w:tc>
          <w:tcPr>
            <w:tcW w:w="7447" w:type="dxa"/>
            <w:shd w:val="clear" w:color="auto" w:fill="auto"/>
          </w:tcPr>
          <w:p w14:paraId="58C792AC" w14:textId="77777777" w:rsidR="00FB64C0" w:rsidRPr="009A1BE7" w:rsidRDefault="00FB64C0" w:rsidP="00FD7872">
            <w:pPr>
              <w:rPr>
                <w:sz w:val="20"/>
              </w:rPr>
            </w:pPr>
            <w:r w:rsidRPr="009A1BE7">
              <w:rPr>
                <w:sz w:val="20"/>
              </w:rPr>
              <w:t>Pillar 4 Social and territorial cohesion</w:t>
            </w:r>
          </w:p>
          <w:p w14:paraId="7B52B449" w14:textId="77777777" w:rsidR="00FB64C0" w:rsidRPr="009A1BE7" w:rsidRDefault="00FB64C0" w:rsidP="00FD7872">
            <w:pPr>
              <w:rPr>
                <w:sz w:val="20"/>
              </w:rPr>
            </w:pPr>
            <w:r w:rsidRPr="009A1BE7">
              <w:rPr>
                <w:sz w:val="20"/>
              </w:rPr>
              <w:t>Pillar 5 Health, Economic Social and Institutional Resilience</w:t>
            </w:r>
          </w:p>
        </w:tc>
      </w:tr>
      <w:tr w:rsidR="00FB64C0" w:rsidRPr="00255291" w14:paraId="35CFAA9B" w14:textId="77777777" w:rsidTr="009A1BE7">
        <w:tc>
          <w:tcPr>
            <w:tcW w:w="2028" w:type="dxa"/>
            <w:shd w:val="clear" w:color="auto" w:fill="auto"/>
          </w:tcPr>
          <w:p w14:paraId="2EFD9294" w14:textId="77777777" w:rsidR="00FB64C0" w:rsidRPr="009A1BE7" w:rsidRDefault="00FB64C0" w:rsidP="00FD7872">
            <w:pPr>
              <w:rPr>
                <w:sz w:val="20"/>
              </w:rPr>
            </w:pPr>
            <w:r w:rsidRPr="009A1BE7">
              <w:rPr>
                <w:sz w:val="20"/>
              </w:rPr>
              <w:t>Definition and concept</w:t>
            </w:r>
          </w:p>
        </w:tc>
        <w:tc>
          <w:tcPr>
            <w:tcW w:w="7447" w:type="dxa"/>
            <w:shd w:val="clear" w:color="auto" w:fill="auto"/>
          </w:tcPr>
          <w:p w14:paraId="50ECF20F" w14:textId="77777777" w:rsidR="00FB64C0" w:rsidRPr="009A1BE7" w:rsidRDefault="00FB64C0" w:rsidP="00FD7872">
            <w:pPr>
              <w:rPr>
                <w:sz w:val="20"/>
              </w:rPr>
            </w:pPr>
            <w:r w:rsidRPr="009A1BE7">
              <w:rPr>
                <w:sz w:val="20"/>
              </w:rPr>
              <w:t>The maximum annual number of persons that can be served by a new or modernised health care facility due to support by measures under the Facility at least once during a period of one year.</w:t>
            </w:r>
          </w:p>
          <w:p w14:paraId="2D0F0F6E" w14:textId="77777777" w:rsidR="00FB64C0" w:rsidRPr="009A1BE7" w:rsidRDefault="00FB64C0" w:rsidP="00FD7872">
            <w:pPr>
              <w:rPr>
                <w:sz w:val="20"/>
              </w:rPr>
            </w:pPr>
            <w:r w:rsidRPr="009A1BE7">
              <w:rPr>
                <w:sz w:val="20"/>
              </w:rPr>
              <w:t>Modernisation shall not include energy renovation or maintenance and repairs. Healthcare facilities shall include hospitals, clinics, outpatient care centres, specialized care centres etc.</w:t>
            </w:r>
          </w:p>
        </w:tc>
      </w:tr>
      <w:tr w:rsidR="00FB64C0" w:rsidRPr="00255291" w14:paraId="71B46F18" w14:textId="77777777" w:rsidTr="009A1BE7">
        <w:tc>
          <w:tcPr>
            <w:tcW w:w="2028" w:type="dxa"/>
          </w:tcPr>
          <w:p w14:paraId="7AD0C642" w14:textId="77777777" w:rsidR="00FB64C0" w:rsidRPr="009A1BE7" w:rsidRDefault="00FB64C0" w:rsidP="00FD7872">
            <w:pPr>
              <w:rPr>
                <w:sz w:val="20"/>
              </w:rPr>
            </w:pPr>
            <w:r w:rsidRPr="009A1BE7">
              <w:rPr>
                <w:sz w:val="20"/>
              </w:rPr>
              <w:t>Time measurement</w:t>
            </w:r>
          </w:p>
        </w:tc>
        <w:tc>
          <w:tcPr>
            <w:tcW w:w="7447" w:type="dxa"/>
          </w:tcPr>
          <w:p w14:paraId="23F10E0B" w14:textId="409DC7A3" w:rsidR="00EE69DE" w:rsidRPr="009A1BE7" w:rsidRDefault="00FB64C0">
            <w:pPr>
              <w:rPr>
                <w:sz w:val="20"/>
                <w:lang w:val="en-IE"/>
              </w:rPr>
            </w:pPr>
            <w:r w:rsidRPr="009A1BE7">
              <w:rPr>
                <w:sz w:val="20"/>
              </w:rPr>
              <w:t xml:space="preserve">When the respective medical services of the new or modernised healthcare infrastructure supported </w:t>
            </w:r>
            <w:r w:rsidRPr="009A1BE7">
              <w:rPr>
                <w:sz w:val="20"/>
                <w:lang w:val="en-IE"/>
              </w:rPr>
              <w:t xml:space="preserve">by the Facility </w:t>
            </w:r>
            <w:r w:rsidRPr="009A1BE7">
              <w:rPr>
                <w:sz w:val="20"/>
              </w:rPr>
              <w:t>are operational</w:t>
            </w:r>
            <w:r w:rsidR="0053610B" w:rsidRPr="009A1BE7">
              <w:rPr>
                <w:sz w:val="20"/>
              </w:rPr>
              <w:t xml:space="preserve"> </w:t>
            </w:r>
            <w:r w:rsidR="0053610B" w:rsidRPr="009A1BE7">
              <w:rPr>
                <w:sz w:val="20"/>
                <w:lang w:val="en-IE"/>
              </w:rPr>
              <w:t>(as defined in the general principles).</w:t>
            </w:r>
          </w:p>
        </w:tc>
      </w:tr>
      <w:tr w:rsidR="001C789D" w:rsidRPr="00255291" w14:paraId="3311FA10" w14:textId="77777777" w:rsidTr="009A1BE7">
        <w:tc>
          <w:tcPr>
            <w:tcW w:w="2028" w:type="dxa"/>
          </w:tcPr>
          <w:p w14:paraId="0EC937E7" w14:textId="5338C497" w:rsidR="001C789D" w:rsidRPr="009A1BE7" w:rsidRDefault="001C789D" w:rsidP="00FD7872">
            <w:pPr>
              <w:rPr>
                <w:sz w:val="20"/>
              </w:rPr>
            </w:pPr>
            <w:r w:rsidRPr="009A1BE7">
              <w:rPr>
                <w:sz w:val="20"/>
              </w:rPr>
              <w:t>Counting methodology</w:t>
            </w:r>
          </w:p>
        </w:tc>
        <w:tc>
          <w:tcPr>
            <w:tcW w:w="7447" w:type="dxa"/>
          </w:tcPr>
          <w:p w14:paraId="587246C6" w14:textId="4881FC93" w:rsidR="001C789D" w:rsidRPr="009A1BE7" w:rsidRDefault="001C789D" w:rsidP="00FD7872">
            <w:pPr>
              <w:rPr>
                <w:sz w:val="20"/>
              </w:rPr>
            </w:pPr>
            <w:r w:rsidRPr="009A1BE7">
              <w:rPr>
                <w:sz w:val="20"/>
                <w:lang w:val="en-IE"/>
              </w:rPr>
              <w:t>The capacity of one new or newly modernised medical service or healthcare infrastructure should only be reported once, when it is first operational.</w:t>
            </w:r>
          </w:p>
        </w:tc>
      </w:tr>
      <w:tr w:rsidR="00FB64C0" w:rsidRPr="00255291" w14:paraId="020A3FD3" w14:textId="77777777" w:rsidTr="009A1BE7">
        <w:tc>
          <w:tcPr>
            <w:tcW w:w="2028" w:type="dxa"/>
          </w:tcPr>
          <w:p w14:paraId="3216E747" w14:textId="77777777" w:rsidR="00FB64C0" w:rsidRPr="009A1BE7" w:rsidRDefault="00FB64C0" w:rsidP="00FD7872">
            <w:pPr>
              <w:rPr>
                <w:sz w:val="20"/>
              </w:rPr>
            </w:pPr>
            <w:r w:rsidRPr="009A1BE7">
              <w:rPr>
                <w:sz w:val="20"/>
              </w:rPr>
              <w:t xml:space="preserve">Disaggregation </w:t>
            </w:r>
          </w:p>
        </w:tc>
        <w:tc>
          <w:tcPr>
            <w:tcW w:w="7447" w:type="dxa"/>
          </w:tcPr>
          <w:p w14:paraId="33B35680" w14:textId="77777777" w:rsidR="00FB64C0" w:rsidRPr="009A1BE7" w:rsidRDefault="00FB64C0" w:rsidP="00FD7872">
            <w:pPr>
              <w:rPr>
                <w:sz w:val="20"/>
              </w:rPr>
            </w:pPr>
            <w:r w:rsidRPr="009A1BE7">
              <w:rPr>
                <w:sz w:val="20"/>
              </w:rPr>
              <w:t>None.</w:t>
            </w:r>
          </w:p>
        </w:tc>
      </w:tr>
      <w:tr w:rsidR="00FB64C0" w:rsidRPr="00255291" w14:paraId="561A68A9" w14:textId="77777777" w:rsidTr="009A1BE7">
        <w:tc>
          <w:tcPr>
            <w:tcW w:w="2028" w:type="dxa"/>
          </w:tcPr>
          <w:p w14:paraId="5E3F3487" w14:textId="77777777" w:rsidR="00FB64C0" w:rsidRPr="009A1BE7" w:rsidRDefault="00FB64C0" w:rsidP="00FD7872">
            <w:pPr>
              <w:rPr>
                <w:sz w:val="20"/>
              </w:rPr>
            </w:pPr>
            <w:r w:rsidRPr="009A1BE7">
              <w:rPr>
                <w:sz w:val="20"/>
              </w:rPr>
              <w:t xml:space="preserve">References </w:t>
            </w:r>
          </w:p>
        </w:tc>
        <w:tc>
          <w:tcPr>
            <w:tcW w:w="7447" w:type="dxa"/>
          </w:tcPr>
          <w:p w14:paraId="39CF05B3" w14:textId="180734F5" w:rsidR="00FB64C0" w:rsidRPr="009A1BE7" w:rsidRDefault="009747D2" w:rsidP="00FD7872">
            <w:pPr>
              <w:pStyle w:val="Default"/>
              <w:jc w:val="both"/>
              <w:rPr>
                <w:sz w:val="20"/>
              </w:rPr>
            </w:pPr>
            <w:r w:rsidRPr="009A1BE7">
              <w:rPr>
                <w:sz w:val="20"/>
              </w:rPr>
              <w:t>NA</w:t>
            </w:r>
          </w:p>
        </w:tc>
      </w:tr>
      <w:tr w:rsidR="00FB64C0" w:rsidRPr="00255291" w14:paraId="37A4778E" w14:textId="77777777" w:rsidTr="009A1BE7">
        <w:tc>
          <w:tcPr>
            <w:tcW w:w="2028" w:type="dxa"/>
          </w:tcPr>
          <w:p w14:paraId="4E2E03EB" w14:textId="77777777" w:rsidR="00FB64C0" w:rsidRPr="009A1BE7" w:rsidRDefault="00FB64C0" w:rsidP="00FD7872">
            <w:pPr>
              <w:rPr>
                <w:sz w:val="20"/>
              </w:rPr>
            </w:pPr>
            <w:r w:rsidRPr="009A1BE7">
              <w:rPr>
                <w:sz w:val="20"/>
              </w:rPr>
              <w:t>Corresponding Structural Funds indicator(s)</w:t>
            </w:r>
          </w:p>
        </w:tc>
        <w:tc>
          <w:tcPr>
            <w:tcW w:w="7447" w:type="dxa"/>
          </w:tcPr>
          <w:p w14:paraId="5659371F" w14:textId="77777777" w:rsidR="00FB64C0" w:rsidRPr="009A1BE7" w:rsidRDefault="00FB64C0" w:rsidP="00FD7872">
            <w:pPr>
              <w:rPr>
                <w:sz w:val="20"/>
              </w:rPr>
            </w:pPr>
            <w:r w:rsidRPr="009A1BE7">
              <w:rPr>
                <w:color w:val="000000"/>
                <w:sz w:val="20"/>
                <w:lang w:val="en-US"/>
              </w:rPr>
              <w:t>RCO69 Capacity of new or modernised health care facilities</w:t>
            </w:r>
          </w:p>
        </w:tc>
      </w:tr>
    </w:tbl>
    <w:p w14:paraId="3B8B4D84" w14:textId="77777777" w:rsidR="00FB64C0" w:rsidRPr="00255291" w:rsidRDefault="00FB64C0" w:rsidP="00FB64C0">
      <w:pPr>
        <w:pStyle w:val="ListParagraph"/>
        <w:ind w:left="1152"/>
        <w:rPr>
          <w:b/>
        </w:rPr>
      </w:pPr>
    </w:p>
    <w:p w14:paraId="6A298D01" w14:textId="77777777" w:rsidR="00FB64C0" w:rsidRPr="00255291" w:rsidRDefault="00FB64C0" w:rsidP="00FB64C0">
      <w:pPr>
        <w:pStyle w:val="ListParagraph"/>
        <w:ind w:left="1152"/>
        <w:rPr>
          <w:b/>
        </w:rPr>
      </w:pPr>
    </w:p>
    <w:p w14:paraId="3C356DE9" w14:textId="7EE40BFD" w:rsidR="00FB64C0" w:rsidRPr="001550EF" w:rsidRDefault="009747D2" w:rsidP="001550EF">
      <w:pPr>
        <w:pStyle w:val="ListParagraph"/>
        <w:ind w:left="1152"/>
        <w:rPr>
          <w:b/>
        </w:rPr>
      </w:pPr>
      <w:r w:rsidRPr="00255291">
        <w:rPr>
          <w:b/>
        </w:rPr>
        <w:br w:type="page"/>
      </w:r>
    </w:p>
    <w:p w14:paraId="199FD962" w14:textId="69028237" w:rsidR="00FB64C0" w:rsidRDefault="00FB64C0" w:rsidP="001F5716">
      <w:pPr>
        <w:pStyle w:val="Heading2"/>
        <w:numPr>
          <w:ilvl w:val="1"/>
          <w:numId w:val="43"/>
        </w:numPr>
        <w:rPr>
          <w:rFonts w:ascii="Times New Roman" w:hAnsi="Times New Roman" w:cs="Times New Roman"/>
          <w:b/>
          <w:color w:val="auto"/>
        </w:rPr>
      </w:pPr>
      <w:bookmarkStart w:id="21" w:name="_Toc93393188"/>
      <w:r w:rsidRPr="00255291">
        <w:rPr>
          <w:rFonts w:ascii="Times New Roman" w:hAnsi="Times New Roman" w:cs="Times New Roman"/>
          <w:b/>
          <w:color w:val="auto"/>
        </w:rPr>
        <w:lastRenderedPageBreak/>
        <w:t>Classroom capacity of new or modernised childcare and education facilities</w:t>
      </w:r>
      <w:bookmarkEnd w:id="21"/>
    </w:p>
    <w:p w14:paraId="225EF4DF" w14:textId="77777777" w:rsidR="001F5716" w:rsidRPr="001F5716" w:rsidRDefault="001F5716" w:rsidP="001F5716"/>
    <w:tbl>
      <w:tblPr>
        <w:tblStyle w:val="TableGrid"/>
        <w:tblW w:w="9475" w:type="dxa"/>
        <w:tblLook w:val="04A0" w:firstRow="1" w:lastRow="0" w:firstColumn="1" w:lastColumn="0" w:noHBand="0" w:noVBand="1"/>
      </w:tblPr>
      <w:tblGrid>
        <w:gridCol w:w="2028"/>
        <w:gridCol w:w="7447"/>
      </w:tblGrid>
      <w:tr w:rsidR="00FB64C0" w:rsidRPr="00255291" w14:paraId="6B074027" w14:textId="77777777" w:rsidTr="009A1BE7">
        <w:tc>
          <w:tcPr>
            <w:tcW w:w="2028" w:type="dxa"/>
          </w:tcPr>
          <w:p w14:paraId="24633442" w14:textId="77777777" w:rsidR="00FB64C0" w:rsidRPr="009A1BE7" w:rsidRDefault="00FB64C0" w:rsidP="00FD7872">
            <w:pPr>
              <w:rPr>
                <w:sz w:val="20"/>
              </w:rPr>
            </w:pPr>
            <w:r w:rsidRPr="009A1BE7">
              <w:rPr>
                <w:sz w:val="20"/>
              </w:rPr>
              <w:t>Indicator code</w:t>
            </w:r>
          </w:p>
        </w:tc>
        <w:tc>
          <w:tcPr>
            <w:tcW w:w="7447" w:type="dxa"/>
          </w:tcPr>
          <w:p w14:paraId="0CD88F89" w14:textId="77777777" w:rsidR="00FB64C0" w:rsidRPr="009A1BE7" w:rsidRDefault="00FB64C0" w:rsidP="00FD7872">
            <w:pPr>
              <w:pStyle w:val="Default"/>
              <w:jc w:val="both"/>
              <w:rPr>
                <w:sz w:val="20"/>
                <w:szCs w:val="23"/>
              </w:rPr>
            </w:pPr>
            <w:r w:rsidRPr="009A1BE7">
              <w:rPr>
                <w:sz w:val="20"/>
              </w:rPr>
              <w:t>RRFCI13</w:t>
            </w:r>
          </w:p>
        </w:tc>
      </w:tr>
      <w:tr w:rsidR="00FB64C0" w:rsidRPr="00255291" w14:paraId="2FA11B2A" w14:textId="77777777" w:rsidTr="009A1BE7">
        <w:tc>
          <w:tcPr>
            <w:tcW w:w="2028" w:type="dxa"/>
            <w:shd w:val="clear" w:color="auto" w:fill="auto"/>
          </w:tcPr>
          <w:p w14:paraId="1034F9A7" w14:textId="77777777" w:rsidR="00FB64C0" w:rsidRPr="009A1BE7" w:rsidRDefault="00FB64C0" w:rsidP="00FD7872">
            <w:pPr>
              <w:rPr>
                <w:sz w:val="20"/>
              </w:rPr>
            </w:pPr>
            <w:r w:rsidRPr="009A1BE7">
              <w:rPr>
                <w:sz w:val="20"/>
              </w:rPr>
              <w:t>Indicator name</w:t>
            </w:r>
          </w:p>
        </w:tc>
        <w:tc>
          <w:tcPr>
            <w:tcW w:w="7447" w:type="dxa"/>
            <w:shd w:val="clear" w:color="auto" w:fill="auto"/>
          </w:tcPr>
          <w:p w14:paraId="5B5A3B48" w14:textId="77777777" w:rsidR="00FB64C0" w:rsidRPr="009A1BE7" w:rsidRDefault="00FB64C0" w:rsidP="00FD7872">
            <w:pPr>
              <w:rPr>
                <w:sz w:val="20"/>
              </w:rPr>
            </w:pPr>
            <w:r w:rsidRPr="009A1BE7">
              <w:rPr>
                <w:sz w:val="20"/>
              </w:rPr>
              <w:t>Classroom capacity of new or modernised childcare and education facilities</w:t>
            </w:r>
          </w:p>
        </w:tc>
      </w:tr>
      <w:tr w:rsidR="00FB64C0" w:rsidRPr="00255291" w14:paraId="1ED4F8AF" w14:textId="77777777" w:rsidTr="009A1BE7">
        <w:tc>
          <w:tcPr>
            <w:tcW w:w="2028" w:type="dxa"/>
            <w:shd w:val="clear" w:color="auto" w:fill="auto"/>
          </w:tcPr>
          <w:p w14:paraId="529BE436" w14:textId="77777777" w:rsidR="00FB64C0" w:rsidRPr="009A1BE7" w:rsidRDefault="00FB64C0" w:rsidP="00FD7872">
            <w:pPr>
              <w:rPr>
                <w:sz w:val="20"/>
              </w:rPr>
            </w:pPr>
            <w:r w:rsidRPr="009A1BE7">
              <w:rPr>
                <w:sz w:val="20"/>
              </w:rPr>
              <w:t>Measurement unit</w:t>
            </w:r>
          </w:p>
        </w:tc>
        <w:tc>
          <w:tcPr>
            <w:tcW w:w="7447" w:type="dxa"/>
            <w:shd w:val="clear" w:color="auto" w:fill="auto"/>
          </w:tcPr>
          <w:p w14:paraId="418ED02C" w14:textId="77777777" w:rsidR="00FB64C0" w:rsidRPr="009A1BE7" w:rsidRDefault="00FB64C0" w:rsidP="00FD7872">
            <w:pPr>
              <w:rPr>
                <w:sz w:val="20"/>
              </w:rPr>
            </w:pPr>
            <w:r w:rsidRPr="009A1BE7">
              <w:rPr>
                <w:sz w:val="20"/>
              </w:rPr>
              <w:t>Persons</w:t>
            </w:r>
          </w:p>
        </w:tc>
      </w:tr>
      <w:tr w:rsidR="00D0748F" w:rsidRPr="00255291" w14:paraId="7B918F6A" w14:textId="77777777" w:rsidTr="009A1BE7">
        <w:tc>
          <w:tcPr>
            <w:tcW w:w="2028" w:type="dxa"/>
            <w:shd w:val="clear" w:color="auto" w:fill="auto"/>
          </w:tcPr>
          <w:p w14:paraId="335A722D" w14:textId="6F25A3A2" w:rsidR="00D0748F" w:rsidRPr="009A1BE7" w:rsidRDefault="00D0748F" w:rsidP="00FD7872">
            <w:pPr>
              <w:rPr>
                <w:sz w:val="20"/>
              </w:rPr>
            </w:pPr>
            <w:r w:rsidRPr="009A1BE7">
              <w:rPr>
                <w:sz w:val="20"/>
              </w:rPr>
              <w:t>Type of indicator</w:t>
            </w:r>
          </w:p>
        </w:tc>
        <w:tc>
          <w:tcPr>
            <w:tcW w:w="7447" w:type="dxa"/>
            <w:shd w:val="clear" w:color="auto" w:fill="auto"/>
          </w:tcPr>
          <w:p w14:paraId="2FDAE50A" w14:textId="6B6020AA" w:rsidR="00D0748F" w:rsidRPr="009A1BE7" w:rsidRDefault="00D0748F" w:rsidP="00FD7872">
            <w:pPr>
              <w:rPr>
                <w:sz w:val="20"/>
              </w:rPr>
            </w:pPr>
            <w:r w:rsidRPr="009A1BE7">
              <w:rPr>
                <w:sz w:val="20"/>
              </w:rPr>
              <w:t>Stock</w:t>
            </w:r>
          </w:p>
        </w:tc>
      </w:tr>
      <w:tr w:rsidR="003859EC" w:rsidRPr="00255291" w14:paraId="2C4DE40F" w14:textId="77777777" w:rsidTr="009A1BE7">
        <w:tc>
          <w:tcPr>
            <w:tcW w:w="2028" w:type="dxa"/>
            <w:shd w:val="clear" w:color="auto" w:fill="auto"/>
          </w:tcPr>
          <w:p w14:paraId="6B551D1A" w14:textId="77777777" w:rsidR="003859EC" w:rsidRPr="009A1BE7" w:rsidRDefault="003859EC" w:rsidP="003859EC">
            <w:pPr>
              <w:rPr>
                <w:sz w:val="20"/>
              </w:rPr>
            </w:pPr>
            <w:r w:rsidRPr="009A1BE7">
              <w:rPr>
                <w:sz w:val="20"/>
              </w:rPr>
              <w:t xml:space="preserve">Baseline </w:t>
            </w:r>
          </w:p>
        </w:tc>
        <w:tc>
          <w:tcPr>
            <w:tcW w:w="7447" w:type="dxa"/>
            <w:shd w:val="clear" w:color="auto" w:fill="auto"/>
          </w:tcPr>
          <w:p w14:paraId="3B4A4BE2" w14:textId="1BA9BBD1" w:rsidR="00073062" w:rsidRPr="009A1BE7" w:rsidRDefault="009747D2" w:rsidP="003859EC">
            <w:pPr>
              <w:rPr>
                <w:sz w:val="20"/>
              </w:rPr>
            </w:pPr>
            <w:r w:rsidRPr="009A1BE7">
              <w:rPr>
                <w:sz w:val="20"/>
              </w:rPr>
              <w:t>I</w:t>
            </w:r>
            <w:r w:rsidR="001873AC" w:rsidRPr="009A1BE7">
              <w:rPr>
                <w:sz w:val="20"/>
              </w:rPr>
              <w:t>nitially 0, subsequently adjusted to the achieved value of the previous reporting round</w:t>
            </w:r>
          </w:p>
        </w:tc>
      </w:tr>
      <w:tr w:rsidR="003859EC" w:rsidRPr="00255291" w14:paraId="12A1DF78" w14:textId="77777777" w:rsidTr="009A1BE7">
        <w:tc>
          <w:tcPr>
            <w:tcW w:w="2028" w:type="dxa"/>
            <w:shd w:val="clear" w:color="auto" w:fill="auto"/>
          </w:tcPr>
          <w:p w14:paraId="4332EDD0" w14:textId="77777777" w:rsidR="003859EC" w:rsidRPr="009A1BE7" w:rsidRDefault="003859EC" w:rsidP="003859EC">
            <w:pPr>
              <w:rPr>
                <w:sz w:val="20"/>
              </w:rPr>
            </w:pPr>
            <w:r w:rsidRPr="009A1BE7">
              <w:rPr>
                <w:sz w:val="20"/>
              </w:rPr>
              <w:t>RRF Pillars</w:t>
            </w:r>
          </w:p>
        </w:tc>
        <w:tc>
          <w:tcPr>
            <w:tcW w:w="7447" w:type="dxa"/>
            <w:shd w:val="clear" w:color="auto" w:fill="auto"/>
          </w:tcPr>
          <w:p w14:paraId="13DA20A7" w14:textId="77777777" w:rsidR="003859EC" w:rsidRPr="009A1BE7" w:rsidRDefault="003859EC" w:rsidP="003859EC">
            <w:pPr>
              <w:rPr>
                <w:sz w:val="20"/>
              </w:rPr>
            </w:pPr>
            <w:r w:rsidRPr="009A1BE7">
              <w:rPr>
                <w:sz w:val="20"/>
              </w:rPr>
              <w:t>Pillar 4 Social and territorial cohesion</w:t>
            </w:r>
          </w:p>
          <w:p w14:paraId="32236336" w14:textId="77777777" w:rsidR="003859EC" w:rsidRPr="009A1BE7" w:rsidRDefault="003859EC" w:rsidP="003859EC">
            <w:pPr>
              <w:rPr>
                <w:sz w:val="20"/>
              </w:rPr>
            </w:pPr>
            <w:r w:rsidRPr="009A1BE7">
              <w:rPr>
                <w:sz w:val="20"/>
              </w:rPr>
              <w:t>Pillar 6 Policies for the next generation</w:t>
            </w:r>
          </w:p>
        </w:tc>
      </w:tr>
      <w:tr w:rsidR="003859EC" w:rsidRPr="00255291" w14:paraId="20C534F1" w14:textId="77777777" w:rsidTr="009A1BE7">
        <w:tc>
          <w:tcPr>
            <w:tcW w:w="2028" w:type="dxa"/>
            <w:shd w:val="clear" w:color="auto" w:fill="auto"/>
          </w:tcPr>
          <w:p w14:paraId="6706B1B1" w14:textId="77777777" w:rsidR="003859EC" w:rsidRPr="009A1BE7" w:rsidRDefault="003859EC" w:rsidP="003859EC">
            <w:pPr>
              <w:rPr>
                <w:sz w:val="20"/>
              </w:rPr>
            </w:pPr>
            <w:r w:rsidRPr="009A1BE7">
              <w:rPr>
                <w:sz w:val="20"/>
              </w:rPr>
              <w:t>Definition and concept</w:t>
            </w:r>
          </w:p>
        </w:tc>
        <w:tc>
          <w:tcPr>
            <w:tcW w:w="7447" w:type="dxa"/>
            <w:shd w:val="clear" w:color="auto" w:fill="auto"/>
          </w:tcPr>
          <w:p w14:paraId="06DBCEDD" w14:textId="43C94CF0" w:rsidR="003859EC" w:rsidRPr="009A1BE7" w:rsidRDefault="003859EC" w:rsidP="003859EC">
            <w:pPr>
              <w:rPr>
                <w:sz w:val="20"/>
              </w:rPr>
            </w:pPr>
            <w:r w:rsidRPr="009A1BE7">
              <w:rPr>
                <w:sz w:val="20"/>
              </w:rPr>
              <w:t>Classroom capacity in terms of the maximum number of places in the new or modernised early childhood education and care and education facilities (ISCED 0-6</w:t>
            </w:r>
            <w:r w:rsidR="00CB4770">
              <w:rPr>
                <w:sz w:val="20"/>
              </w:rPr>
              <w:t>, ISCED 7-8</w:t>
            </w:r>
            <w:r w:rsidRPr="009A1BE7">
              <w:rPr>
                <w:sz w:val="20"/>
              </w:rPr>
              <w:t>) due to support by measures under the Facility. Classroom capacity shall be calculated in accordance with national legislation, but it shall not include teachers, parents, auxiliary personnel or any other persons who may also use the facilities.</w:t>
            </w:r>
          </w:p>
          <w:p w14:paraId="18AE67FF" w14:textId="2729210B" w:rsidR="003859EC" w:rsidRPr="009A1BE7" w:rsidRDefault="003859EC" w:rsidP="003859EC">
            <w:pPr>
              <w:rPr>
                <w:sz w:val="20"/>
              </w:rPr>
            </w:pPr>
            <w:r w:rsidRPr="009A1BE7">
              <w:rPr>
                <w:sz w:val="20"/>
              </w:rPr>
              <w:t>Early childhood education and care facilities such as crèches and pre-schools shall refer to those designed for children from birth to the start of primary education (ISCED 0). Education facilities shall include schools (ISCED 1-3, ISCED 4) and higher education (ISCED 5-6</w:t>
            </w:r>
            <w:r w:rsidR="00CB4770">
              <w:rPr>
                <w:sz w:val="20"/>
              </w:rPr>
              <w:t>, ISCED 7-8</w:t>
            </w:r>
            <w:r w:rsidRPr="009A1BE7">
              <w:rPr>
                <w:sz w:val="20"/>
              </w:rPr>
              <w:t>). The indicator shall cover childcare or education facilities that are newly built or modernised (for example, for increasing hygiene and safety standards), and modernisation shall not include energy renovation or maintenance and repairs.</w:t>
            </w:r>
          </w:p>
          <w:p w14:paraId="399B958E" w14:textId="54D47271" w:rsidR="00ED6B06" w:rsidRPr="009A1BE7" w:rsidRDefault="00ED6B06" w:rsidP="003859EC">
            <w:pPr>
              <w:rPr>
                <w:sz w:val="20"/>
              </w:rPr>
            </w:pPr>
          </w:p>
        </w:tc>
      </w:tr>
      <w:tr w:rsidR="003859EC" w:rsidRPr="00255291" w14:paraId="5221F644" w14:textId="77777777" w:rsidTr="009A1BE7">
        <w:tc>
          <w:tcPr>
            <w:tcW w:w="2028" w:type="dxa"/>
          </w:tcPr>
          <w:p w14:paraId="488CB88C" w14:textId="77777777" w:rsidR="003859EC" w:rsidRPr="009A1BE7" w:rsidRDefault="003859EC" w:rsidP="003859EC">
            <w:pPr>
              <w:rPr>
                <w:sz w:val="20"/>
              </w:rPr>
            </w:pPr>
            <w:r w:rsidRPr="009A1BE7">
              <w:rPr>
                <w:sz w:val="20"/>
              </w:rPr>
              <w:t>Time measurement</w:t>
            </w:r>
          </w:p>
        </w:tc>
        <w:tc>
          <w:tcPr>
            <w:tcW w:w="7447" w:type="dxa"/>
          </w:tcPr>
          <w:p w14:paraId="201B4B3C" w14:textId="64C5C599" w:rsidR="00073062" w:rsidRPr="009A1BE7" w:rsidRDefault="003859EC">
            <w:pPr>
              <w:rPr>
                <w:sz w:val="20"/>
              </w:rPr>
            </w:pPr>
            <w:r w:rsidRPr="009A1BE7">
              <w:rPr>
                <w:sz w:val="20"/>
              </w:rPr>
              <w:t xml:space="preserve">When the respective classroom of the new or modernised education infrastructure supported by the Facility are operational </w:t>
            </w:r>
            <w:r w:rsidRPr="009A1BE7">
              <w:rPr>
                <w:sz w:val="20"/>
                <w:lang w:val="en-IE"/>
              </w:rPr>
              <w:t>(as defined in the general principles)</w:t>
            </w:r>
            <w:r w:rsidRPr="009A1BE7">
              <w:rPr>
                <w:sz w:val="20"/>
              </w:rPr>
              <w:t>.</w:t>
            </w:r>
          </w:p>
        </w:tc>
      </w:tr>
      <w:tr w:rsidR="009747D2" w:rsidRPr="00255291" w14:paraId="6311CA42" w14:textId="77777777" w:rsidTr="009A1BE7">
        <w:tc>
          <w:tcPr>
            <w:tcW w:w="2028" w:type="dxa"/>
          </w:tcPr>
          <w:p w14:paraId="0489A1A8" w14:textId="78929BE3" w:rsidR="009747D2" w:rsidRPr="009A1BE7" w:rsidRDefault="009747D2" w:rsidP="003859EC">
            <w:pPr>
              <w:rPr>
                <w:sz w:val="20"/>
              </w:rPr>
            </w:pPr>
            <w:r w:rsidRPr="009A1BE7">
              <w:rPr>
                <w:sz w:val="20"/>
              </w:rPr>
              <w:t>Counting methodology</w:t>
            </w:r>
          </w:p>
        </w:tc>
        <w:tc>
          <w:tcPr>
            <w:tcW w:w="7447" w:type="dxa"/>
          </w:tcPr>
          <w:p w14:paraId="2F0B6440" w14:textId="3BC63B98" w:rsidR="009747D2" w:rsidRPr="009A1BE7" w:rsidRDefault="009747D2" w:rsidP="003859EC">
            <w:pPr>
              <w:rPr>
                <w:sz w:val="20"/>
              </w:rPr>
            </w:pPr>
            <w:r w:rsidRPr="009A1BE7">
              <w:rPr>
                <w:sz w:val="20"/>
              </w:rPr>
              <w:t>The capacity of o</w:t>
            </w:r>
            <w:r w:rsidRPr="009A1BE7">
              <w:rPr>
                <w:sz w:val="20"/>
                <w:lang w:val="en-IE"/>
              </w:rPr>
              <w:t>ne new or newly modernised classroom or education infrastructure should only be reported once, when it is first operational.</w:t>
            </w:r>
          </w:p>
        </w:tc>
      </w:tr>
      <w:tr w:rsidR="003859EC" w:rsidRPr="00255291" w14:paraId="4E18AD43" w14:textId="77777777" w:rsidTr="009A1BE7">
        <w:tc>
          <w:tcPr>
            <w:tcW w:w="2028" w:type="dxa"/>
          </w:tcPr>
          <w:p w14:paraId="7BF174C1" w14:textId="77777777" w:rsidR="003859EC" w:rsidRPr="009A1BE7" w:rsidRDefault="003859EC" w:rsidP="003859EC">
            <w:pPr>
              <w:rPr>
                <w:sz w:val="20"/>
              </w:rPr>
            </w:pPr>
            <w:r w:rsidRPr="009A1BE7">
              <w:rPr>
                <w:sz w:val="20"/>
              </w:rPr>
              <w:t xml:space="preserve">Disaggregation </w:t>
            </w:r>
          </w:p>
        </w:tc>
        <w:tc>
          <w:tcPr>
            <w:tcW w:w="7447" w:type="dxa"/>
          </w:tcPr>
          <w:p w14:paraId="7918F916" w14:textId="77777777" w:rsidR="003859EC" w:rsidRPr="009A1BE7" w:rsidRDefault="003859EC" w:rsidP="003859EC">
            <w:pPr>
              <w:rPr>
                <w:sz w:val="20"/>
              </w:rPr>
            </w:pPr>
            <w:r w:rsidRPr="009A1BE7">
              <w:rPr>
                <w:sz w:val="20"/>
              </w:rPr>
              <w:t>None</w:t>
            </w:r>
          </w:p>
        </w:tc>
      </w:tr>
      <w:tr w:rsidR="003859EC" w:rsidRPr="00255291" w14:paraId="48C92588" w14:textId="77777777" w:rsidTr="009A1BE7">
        <w:tc>
          <w:tcPr>
            <w:tcW w:w="2028" w:type="dxa"/>
          </w:tcPr>
          <w:p w14:paraId="23BBCF50" w14:textId="77777777" w:rsidR="003859EC" w:rsidRPr="009A1BE7" w:rsidRDefault="003859EC" w:rsidP="003859EC">
            <w:pPr>
              <w:rPr>
                <w:sz w:val="20"/>
              </w:rPr>
            </w:pPr>
            <w:r w:rsidRPr="009A1BE7">
              <w:rPr>
                <w:sz w:val="20"/>
              </w:rPr>
              <w:t xml:space="preserve">References </w:t>
            </w:r>
          </w:p>
        </w:tc>
        <w:tc>
          <w:tcPr>
            <w:tcW w:w="7447" w:type="dxa"/>
          </w:tcPr>
          <w:p w14:paraId="6D3353EE" w14:textId="3B537821" w:rsidR="00F42CB2" w:rsidRPr="009A1BE7" w:rsidRDefault="00F42CB2" w:rsidP="00F42CB2">
            <w:pPr>
              <w:pStyle w:val="Default"/>
              <w:jc w:val="both"/>
              <w:rPr>
                <w:sz w:val="20"/>
              </w:rPr>
            </w:pPr>
            <w:r w:rsidRPr="009A1BE7">
              <w:rPr>
                <w:bCs/>
                <w:sz w:val="20"/>
                <w:lang w:val="en-GB"/>
              </w:rPr>
              <w:t>ISCED</w:t>
            </w:r>
            <w:r w:rsidRPr="009A1BE7">
              <w:rPr>
                <w:sz w:val="20"/>
                <w:lang w:val="en-GB"/>
              </w:rPr>
              <w:t> is the reference international classification for organising education programmes and related qualifications by levels and fields. ISCED 2011 (levels of education) has been implemented in all EU data collections since 2014. </w:t>
            </w:r>
            <w:r w:rsidRPr="009A1BE7">
              <w:rPr>
                <w:sz w:val="20"/>
              </w:rPr>
              <w:t>ISCED 2011 has nine education levels, from level 0 to level 8 (tertiary education is more detailed):</w:t>
            </w:r>
          </w:p>
          <w:p w14:paraId="6527D58F" w14:textId="77777777" w:rsidR="00F42CB2" w:rsidRPr="009A1BE7" w:rsidRDefault="00F42CB2" w:rsidP="00F42CB2">
            <w:pPr>
              <w:pStyle w:val="Default"/>
              <w:numPr>
                <w:ilvl w:val="0"/>
                <w:numId w:val="48"/>
              </w:numPr>
              <w:rPr>
                <w:sz w:val="20"/>
              </w:rPr>
            </w:pPr>
            <w:r w:rsidRPr="009A1BE7">
              <w:rPr>
                <w:sz w:val="20"/>
              </w:rPr>
              <w:t>ISCED 0: Early childhood education (‘less than primary’ for educational attainment)</w:t>
            </w:r>
          </w:p>
          <w:p w14:paraId="4438B1C8" w14:textId="77777777" w:rsidR="00F42CB2" w:rsidRPr="009A1BE7" w:rsidRDefault="00F42CB2" w:rsidP="00F42CB2">
            <w:pPr>
              <w:pStyle w:val="Default"/>
              <w:numPr>
                <w:ilvl w:val="0"/>
                <w:numId w:val="48"/>
              </w:numPr>
              <w:rPr>
                <w:sz w:val="20"/>
              </w:rPr>
            </w:pPr>
            <w:r w:rsidRPr="009A1BE7">
              <w:rPr>
                <w:sz w:val="20"/>
              </w:rPr>
              <w:t>ISCED 1: Primary education</w:t>
            </w:r>
          </w:p>
          <w:p w14:paraId="4E090F89" w14:textId="77777777" w:rsidR="00F42CB2" w:rsidRPr="009A1BE7" w:rsidRDefault="00F42CB2" w:rsidP="00F42CB2">
            <w:pPr>
              <w:pStyle w:val="Default"/>
              <w:numPr>
                <w:ilvl w:val="0"/>
                <w:numId w:val="48"/>
              </w:numPr>
              <w:rPr>
                <w:sz w:val="20"/>
              </w:rPr>
            </w:pPr>
            <w:r w:rsidRPr="009A1BE7">
              <w:rPr>
                <w:sz w:val="20"/>
              </w:rPr>
              <w:t>ISCED 2: Lower secondary education</w:t>
            </w:r>
          </w:p>
          <w:p w14:paraId="4CA5D85B" w14:textId="77777777" w:rsidR="00F42CB2" w:rsidRPr="009A1BE7" w:rsidRDefault="00F42CB2" w:rsidP="00F42CB2">
            <w:pPr>
              <w:pStyle w:val="Default"/>
              <w:numPr>
                <w:ilvl w:val="0"/>
                <w:numId w:val="48"/>
              </w:numPr>
              <w:rPr>
                <w:sz w:val="20"/>
              </w:rPr>
            </w:pPr>
            <w:r w:rsidRPr="009A1BE7">
              <w:rPr>
                <w:sz w:val="20"/>
              </w:rPr>
              <w:t>ISCED 3: Upper secondary education</w:t>
            </w:r>
          </w:p>
          <w:p w14:paraId="1169EFE1" w14:textId="77777777" w:rsidR="00F42CB2" w:rsidRPr="009A1BE7" w:rsidRDefault="00F42CB2" w:rsidP="00F42CB2">
            <w:pPr>
              <w:pStyle w:val="Default"/>
              <w:numPr>
                <w:ilvl w:val="0"/>
                <w:numId w:val="48"/>
              </w:numPr>
              <w:rPr>
                <w:sz w:val="20"/>
              </w:rPr>
            </w:pPr>
            <w:r w:rsidRPr="009A1BE7">
              <w:rPr>
                <w:sz w:val="20"/>
              </w:rPr>
              <w:t>ISCED 4: Post-secondary non-tertiary education</w:t>
            </w:r>
          </w:p>
          <w:p w14:paraId="282455E5" w14:textId="77777777" w:rsidR="00F42CB2" w:rsidRPr="009A1BE7" w:rsidRDefault="00F42CB2" w:rsidP="00F42CB2">
            <w:pPr>
              <w:pStyle w:val="Default"/>
              <w:numPr>
                <w:ilvl w:val="0"/>
                <w:numId w:val="48"/>
              </w:numPr>
              <w:rPr>
                <w:sz w:val="20"/>
              </w:rPr>
            </w:pPr>
            <w:r w:rsidRPr="009A1BE7">
              <w:rPr>
                <w:sz w:val="20"/>
              </w:rPr>
              <w:t>ISCED 5: Short-cycle tertiary education</w:t>
            </w:r>
          </w:p>
          <w:p w14:paraId="14FFECCA" w14:textId="77777777" w:rsidR="00F42CB2" w:rsidRPr="009A1BE7" w:rsidRDefault="00F42CB2" w:rsidP="00F42CB2">
            <w:pPr>
              <w:pStyle w:val="Default"/>
              <w:numPr>
                <w:ilvl w:val="0"/>
                <w:numId w:val="48"/>
              </w:numPr>
              <w:rPr>
                <w:sz w:val="20"/>
              </w:rPr>
            </w:pPr>
            <w:r w:rsidRPr="009A1BE7">
              <w:rPr>
                <w:sz w:val="20"/>
              </w:rPr>
              <w:t>ISCED 6: Bachelor’s or equivalent level</w:t>
            </w:r>
          </w:p>
          <w:p w14:paraId="7F62B3D9" w14:textId="77777777" w:rsidR="00F42CB2" w:rsidRPr="009A1BE7" w:rsidRDefault="00F42CB2" w:rsidP="00613EC9">
            <w:pPr>
              <w:pStyle w:val="Default"/>
              <w:numPr>
                <w:ilvl w:val="0"/>
                <w:numId w:val="48"/>
              </w:numPr>
              <w:rPr>
                <w:sz w:val="20"/>
              </w:rPr>
            </w:pPr>
            <w:r w:rsidRPr="009A1BE7">
              <w:rPr>
                <w:sz w:val="20"/>
              </w:rPr>
              <w:t>ISCED 7: Master’s or equivalent level</w:t>
            </w:r>
          </w:p>
          <w:p w14:paraId="770D0015" w14:textId="1FB1B468" w:rsidR="003859EC" w:rsidRPr="009A1BE7" w:rsidRDefault="00F42CB2" w:rsidP="00613EC9">
            <w:pPr>
              <w:pStyle w:val="Default"/>
              <w:numPr>
                <w:ilvl w:val="0"/>
                <w:numId w:val="48"/>
              </w:numPr>
              <w:rPr>
                <w:sz w:val="20"/>
              </w:rPr>
            </w:pPr>
            <w:r w:rsidRPr="009A1BE7">
              <w:rPr>
                <w:sz w:val="20"/>
                <w:lang w:val="en-GB"/>
              </w:rPr>
              <w:t>ISCED 8: Doctoral or equivalent level</w:t>
            </w:r>
          </w:p>
        </w:tc>
      </w:tr>
      <w:tr w:rsidR="003859EC" w:rsidRPr="00255291" w14:paraId="00ADD753" w14:textId="77777777" w:rsidTr="009A1BE7">
        <w:tc>
          <w:tcPr>
            <w:tcW w:w="2028" w:type="dxa"/>
          </w:tcPr>
          <w:p w14:paraId="67B1AEA4" w14:textId="77777777" w:rsidR="003859EC" w:rsidRPr="009A1BE7" w:rsidRDefault="003859EC" w:rsidP="003859EC">
            <w:pPr>
              <w:rPr>
                <w:sz w:val="20"/>
              </w:rPr>
            </w:pPr>
            <w:r w:rsidRPr="009A1BE7">
              <w:rPr>
                <w:sz w:val="20"/>
              </w:rPr>
              <w:lastRenderedPageBreak/>
              <w:t>Corresponding Structural Funds indicator(s)</w:t>
            </w:r>
          </w:p>
        </w:tc>
        <w:tc>
          <w:tcPr>
            <w:tcW w:w="7447" w:type="dxa"/>
          </w:tcPr>
          <w:p w14:paraId="2685BA6C" w14:textId="77777777" w:rsidR="003859EC" w:rsidRPr="009A1BE7" w:rsidRDefault="003859EC" w:rsidP="003859EC">
            <w:pPr>
              <w:pStyle w:val="Default"/>
              <w:jc w:val="both"/>
              <w:rPr>
                <w:sz w:val="20"/>
              </w:rPr>
            </w:pPr>
            <w:r w:rsidRPr="009A1BE7">
              <w:rPr>
                <w:sz w:val="20"/>
              </w:rPr>
              <w:t xml:space="preserve">RCO66 Classroom capacity of new or modernised childcare facilities </w:t>
            </w:r>
          </w:p>
          <w:p w14:paraId="734D89D6" w14:textId="77777777" w:rsidR="003859EC" w:rsidRPr="009A1BE7" w:rsidRDefault="003859EC" w:rsidP="003859EC">
            <w:pPr>
              <w:pStyle w:val="Default"/>
              <w:jc w:val="both"/>
              <w:rPr>
                <w:sz w:val="20"/>
              </w:rPr>
            </w:pPr>
            <w:r w:rsidRPr="009A1BE7">
              <w:rPr>
                <w:sz w:val="20"/>
              </w:rPr>
              <w:t>RCO67 Classroom capacity of new or modernised education facilities</w:t>
            </w:r>
          </w:p>
        </w:tc>
      </w:tr>
    </w:tbl>
    <w:p w14:paraId="1C51D7C3" w14:textId="02ABD70E" w:rsidR="00FB64C0" w:rsidRPr="00255291" w:rsidRDefault="001F5716" w:rsidP="00FB64C0">
      <w:pPr>
        <w:rPr>
          <w:b/>
        </w:rPr>
      </w:pPr>
      <w:r>
        <w:rPr>
          <w:b/>
        </w:rPr>
        <w:br w:type="page"/>
      </w:r>
    </w:p>
    <w:p w14:paraId="75F10C55" w14:textId="6B85FFC3" w:rsidR="00FB64C0" w:rsidRDefault="00FB64C0" w:rsidP="001F5716">
      <w:pPr>
        <w:pStyle w:val="Heading2"/>
        <w:numPr>
          <w:ilvl w:val="1"/>
          <w:numId w:val="43"/>
        </w:numPr>
        <w:rPr>
          <w:rFonts w:ascii="Times New Roman" w:hAnsi="Times New Roman" w:cs="Times New Roman"/>
          <w:b/>
          <w:color w:val="auto"/>
        </w:rPr>
      </w:pPr>
      <w:bookmarkStart w:id="22" w:name="_Toc93393189"/>
      <w:r w:rsidRPr="00255291">
        <w:rPr>
          <w:rFonts w:ascii="Times New Roman" w:hAnsi="Times New Roman" w:cs="Times New Roman"/>
          <w:b/>
          <w:color w:val="auto"/>
        </w:rPr>
        <w:lastRenderedPageBreak/>
        <w:t>Number of young people aged 15-29</w:t>
      </w:r>
      <w:r w:rsidR="005B5D5B" w:rsidRPr="00255291">
        <w:rPr>
          <w:rFonts w:ascii="Times New Roman" w:hAnsi="Times New Roman" w:cs="Times New Roman"/>
          <w:b/>
          <w:color w:val="auto"/>
        </w:rPr>
        <w:t xml:space="preserve"> receiving support</w:t>
      </w:r>
      <w:bookmarkEnd w:id="22"/>
    </w:p>
    <w:p w14:paraId="0A00CBDE" w14:textId="77777777" w:rsidR="001F5716" w:rsidRPr="001F5716" w:rsidRDefault="001F5716" w:rsidP="001F5716"/>
    <w:tbl>
      <w:tblPr>
        <w:tblStyle w:val="TableGrid"/>
        <w:tblW w:w="9475" w:type="dxa"/>
        <w:tblLook w:val="04A0" w:firstRow="1" w:lastRow="0" w:firstColumn="1" w:lastColumn="0" w:noHBand="0" w:noVBand="1"/>
      </w:tblPr>
      <w:tblGrid>
        <w:gridCol w:w="2028"/>
        <w:gridCol w:w="7447"/>
      </w:tblGrid>
      <w:tr w:rsidR="00FB64C0" w:rsidRPr="00255291" w14:paraId="3BDDC799" w14:textId="77777777" w:rsidTr="009A1BE7">
        <w:tc>
          <w:tcPr>
            <w:tcW w:w="2028" w:type="dxa"/>
          </w:tcPr>
          <w:p w14:paraId="3B731AD8" w14:textId="77777777" w:rsidR="00FB64C0" w:rsidRPr="009A1BE7" w:rsidRDefault="00FB64C0" w:rsidP="00FD7872">
            <w:pPr>
              <w:rPr>
                <w:sz w:val="20"/>
              </w:rPr>
            </w:pPr>
            <w:r w:rsidRPr="009A1BE7">
              <w:rPr>
                <w:sz w:val="20"/>
              </w:rPr>
              <w:t>Indicator code</w:t>
            </w:r>
          </w:p>
        </w:tc>
        <w:tc>
          <w:tcPr>
            <w:tcW w:w="7447" w:type="dxa"/>
          </w:tcPr>
          <w:p w14:paraId="49D99960" w14:textId="77777777" w:rsidR="00FB64C0" w:rsidRPr="009A1BE7" w:rsidRDefault="00FB64C0" w:rsidP="00FD7872">
            <w:pPr>
              <w:pStyle w:val="Default"/>
              <w:jc w:val="both"/>
              <w:rPr>
                <w:sz w:val="20"/>
              </w:rPr>
            </w:pPr>
            <w:r w:rsidRPr="009A1BE7">
              <w:rPr>
                <w:sz w:val="20"/>
              </w:rPr>
              <w:t>RRFCI14</w:t>
            </w:r>
          </w:p>
        </w:tc>
      </w:tr>
      <w:tr w:rsidR="00FB64C0" w:rsidRPr="00255291" w14:paraId="7DF000CC" w14:textId="77777777" w:rsidTr="009A1BE7">
        <w:tc>
          <w:tcPr>
            <w:tcW w:w="2028" w:type="dxa"/>
            <w:shd w:val="clear" w:color="auto" w:fill="auto"/>
          </w:tcPr>
          <w:p w14:paraId="463F1C9C" w14:textId="77777777" w:rsidR="00FB64C0" w:rsidRPr="009A1BE7" w:rsidRDefault="00FB64C0" w:rsidP="00FD7872">
            <w:pPr>
              <w:rPr>
                <w:sz w:val="20"/>
              </w:rPr>
            </w:pPr>
            <w:r w:rsidRPr="009A1BE7">
              <w:rPr>
                <w:sz w:val="20"/>
              </w:rPr>
              <w:t>Indicator name</w:t>
            </w:r>
          </w:p>
        </w:tc>
        <w:tc>
          <w:tcPr>
            <w:tcW w:w="7447" w:type="dxa"/>
            <w:shd w:val="clear" w:color="auto" w:fill="auto"/>
          </w:tcPr>
          <w:p w14:paraId="7E397950" w14:textId="77777777" w:rsidR="00FB64C0" w:rsidRPr="009A1BE7" w:rsidRDefault="00FB64C0" w:rsidP="00FD7872">
            <w:pPr>
              <w:rPr>
                <w:sz w:val="20"/>
              </w:rPr>
            </w:pPr>
            <w:r w:rsidRPr="009A1BE7">
              <w:rPr>
                <w:sz w:val="20"/>
              </w:rPr>
              <w:t>Number of young people aged 15-29</w:t>
            </w:r>
            <w:r w:rsidR="005B5D5B" w:rsidRPr="009A1BE7">
              <w:rPr>
                <w:sz w:val="20"/>
              </w:rPr>
              <w:t xml:space="preserve"> receiving support</w:t>
            </w:r>
          </w:p>
        </w:tc>
      </w:tr>
      <w:tr w:rsidR="00FB64C0" w:rsidRPr="00255291" w14:paraId="0D4C281B" w14:textId="77777777" w:rsidTr="009A1BE7">
        <w:tc>
          <w:tcPr>
            <w:tcW w:w="2028" w:type="dxa"/>
            <w:shd w:val="clear" w:color="auto" w:fill="auto"/>
          </w:tcPr>
          <w:p w14:paraId="7B5B935B" w14:textId="77777777" w:rsidR="00FB64C0" w:rsidRPr="009A1BE7" w:rsidRDefault="00FB64C0" w:rsidP="00FD7872">
            <w:pPr>
              <w:rPr>
                <w:sz w:val="20"/>
              </w:rPr>
            </w:pPr>
            <w:r w:rsidRPr="009A1BE7">
              <w:rPr>
                <w:sz w:val="20"/>
              </w:rPr>
              <w:t>Measurement unit</w:t>
            </w:r>
          </w:p>
        </w:tc>
        <w:tc>
          <w:tcPr>
            <w:tcW w:w="7447" w:type="dxa"/>
            <w:shd w:val="clear" w:color="auto" w:fill="auto"/>
          </w:tcPr>
          <w:p w14:paraId="03311701" w14:textId="77777777" w:rsidR="00FB64C0" w:rsidRPr="009A1BE7" w:rsidRDefault="00FB64C0" w:rsidP="00FD7872">
            <w:pPr>
              <w:rPr>
                <w:sz w:val="20"/>
              </w:rPr>
            </w:pPr>
            <w:r w:rsidRPr="009A1BE7">
              <w:rPr>
                <w:sz w:val="20"/>
              </w:rPr>
              <w:t>Persons</w:t>
            </w:r>
          </w:p>
        </w:tc>
      </w:tr>
      <w:tr w:rsidR="00D0748F" w:rsidRPr="00255291" w14:paraId="349FB71A" w14:textId="77777777" w:rsidTr="009A1BE7">
        <w:tc>
          <w:tcPr>
            <w:tcW w:w="2028" w:type="dxa"/>
            <w:shd w:val="clear" w:color="auto" w:fill="auto"/>
          </w:tcPr>
          <w:p w14:paraId="2A49F323" w14:textId="0E846DE7" w:rsidR="00D0748F" w:rsidRPr="009A1BE7" w:rsidRDefault="00D0748F" w:rsidP="00FD7872">
            <w:pPr>
              <w:rPr>
                <w:sz w:val="20"/>
              </w:rPr>
            </w:pPr>
            <w:r w:rsidRPr="009A1BE7">
              <w:rPr>
                <w:sz w:val="20"/>
              </w:rPr>
              <w:t>Type of indicator</w:t>
            </w:r>
          </w:p>
        </w:tc>
        <w:tc>
          <w:tcPr>
            <w:tcW w:w="7447" w:type="dxa"/>
            <w:shd w:val="clear" w:color="auto" w:fill="auto"/>
          </w:tcPr>
          <w:p w14:paraId="72013D75" w14:textId="5F6DDCBB" w:rsidR="00D0748F" w:rsidRPr="009A1BE7" w:rsidRDefault="00D0748F" w:rsidP="00FD7872">
            <w:pPr>
              <w:rPr>
                <w:sz w:val="20"/>
              </w:rPr>
            </w:pPr>
            <w:r w:rsidRPr="009A1BE7">
              <w:rPr>
                <w:sz w:val="20"/>
              </w:rPr>
              <w:t>Flow</w:t>
            </w:r>
          </w:p>
        </w:tc>
      </w:tr>
      <w:tr w:rsidR="003859EC" w:rsidRPr="00255291" w14:paraId="15EC159E" w14:textId="77777777" w:rsidTr="009A1BE7">
        <w:tc>
          <w:tcPr>
            <w:tcW w:w="2028" w:type="dxa"/>
            <w:shd w:val="clear" w:color="auto" w:fill="auto"/>
          </w:tcPr>
          <w:p w14:paraId="3DAB43C4" w14:textId="77777777" w:rsidR="003859EC" w:rsidRPr="009A1BE7" w:rsidRDefault="003859EC" w:rsidP="003859EC">
            <w:pPr>
              <w:rPr>
                <w:sz w:val="20"/>
              </w:rPr>
            </w:pPr>
            <w:r w:rsidRPr="009A1BE7">
              <w:rPr>
                <w:sz w:val="20"/>
              </w:rPr>
              <w:t xml:space="preserve">Baseline </w:t>
            </w:r>
          </w:p>
        </w:tc>
        <w:tc>
          <w:tcPr>
            <w:tcW w:w="7447" w:type="dxa"/>
            <w:shd w:val="clear" w:color="auto" w:fill="auto"/>
          </w:tcPr>
          <w:p w14:paraId="6E538A43" w14:textId="6C831DF1" w:rsidR="003859EC" w:rsidRPr="009A1BE7" w:rsidRDefault="001873AC" w:rsidP="00B17D4F">
            <w:pPr>
              <w:rPr>
                <w:sz w:val="20"/>
              </w:rPr>
            </w:pPr>
            <w:r w:rsidRPr="009A1BE7">
              <w:rPr>
                <w:sz w:val="20"/>
              </w:rPr>
              <w:t>0, reset every reporting round</w:t>
            </w:r>
          </w:p>
        </w:tc>
      </w:tr>
      <w:tr w:rsidR="003859EC" w:rsidRPr="00255291" w14:paraId="7E363E28" w14:textId="77777777" w:rsidTr="009A1BE7">
        <w:tc>
          <w:tcPr>
            <w:tcW w:w="2028" w:type="dxa"/>
            <w:shd w:val="clear" w:color="auto" w:fill="auto"/>
          </w:tcPr>
          <w:p w14:paraId="1D0609D2" w14:textId="77777777" w:rsidR="003859EC" w:rsidRPr="009A1BE7" w:rsidRDefault="003859EC" w:rsidP="00B17D4F">
            <w:pPr>
              <w:rPr>
                <w:sz w:val="20"/>
              </w:rPr>
            </w:pPr>
            <w:r w:rsidRPr="009A1BE7">
              <w:rPr>
                <w:sz w:val="20"/>
              </w:rPr>
              <w:t>RRF Pillars</w:t>
            </w:r>
          </w:p>
        </w:tc>
        <w:tc>
          <w:tcPr>
            <w:tcW w:w="7447" w:type="dxa"/>
            <w:shd w:val="clear" w:color="auto" w:fill="auto"/>
          </w:tcPr>
          <w:p w14:paraId="0BB37258" w14:textId="77777777" w:rsidR="003859EC" w:rsidRPr="009A1BE7" w:rsidRDefault="003859EC" w:rsidP="00B17D4F">
            <w:pPr>
              <w:rPr>
                <w:sz w:val="20"/>
              </w:rPr>
            </w:pPr>
            <w:r w:rsidRPr="009A1BE7">
              <w:rPr>
                <w:sz w:val="20"/>
              </w:rPr>
              <w:t>Pillar 6 Policies for the next generation</w:t>
            </w:r>
          </w:p>
        </w:tc>
      </w:tr>
      <w:tr w:rsidR="003859EC" w:rsidRPr="00255291" w14:paraId="2F73B247" w14:textId="77777777" w:rsidTr="009A1BE7">
        <w:tc>
          <w:tcPr>
            <w:tcW w:w="2028" w:type="dxa"/>
            <w:shd w:val="clear" w:color="auto" w:fill="auto"/>
          </w:tcPr>
          <w:p w14:paraId="01FB7A79" w14:textId="77777777" w:rsidR="003859EC" w:rsidRPr="009A1BE7" w:rsidRDefault="003859EC" w:rsidP="00B17D4F">
            <w:pPr>
              <w:rPr>
                <w:sz w:val="20"/>
              </w:rPr>
            </w:pPr>
            <w:r w:rsidRPr="009A1BE7">
              <w:rPr>
                <w:sz w:val="20"/>
              </w:rPr>
              <w:t>Definition and concept</w:t>
            </w:r>
          </w:p>
        </w:tc>
        <w:tc>
          <w:tcPr>
            <w:tcW w:w="7447" w:type="dxa"/>
            <w:shd w:val="clear" w:color="auto" w:fill="auto"/>
          </w:tcPr>
          <w:p w14:paraId="45E9A535" w14:textId="56CE7B57" w:rsidR="00A975B6" w:rsidRPr="009A1BE7" w:rsidRDefault="003859EC">
            <w:pPr>
              <w:rPr>
                <w:sz w:val="20"/>
                <w:lang w:val="en-IE"/>
              </w:rPr>
            </w:pPr>
            <w:r w:rsidRPr="009A1BE7">
              <w:rPr>
                <w:sz w:val="20"/>
              </w:rPr>
              <w:t xml:space="preserve">The number of participants aged 15-29 years old upon receiving monetary or in-kind support by measures under the Facility. </w:t>
            </w:r>
            <w:r w:rsidR="001A7FE9" w:rsidRPr="009A1BE7">
              <w:rPr>
                <w:sz w:val="20"/>
                <w:lang w:val="en-IE"/>
              </w:rPr>
              <w:t>Support shall be counted per measure granting support, even if it lasts several years. Additionally, a young person receiving two different supports should be counted twice – once per measure granting support (as defined in the general principles).</w:t>
            </w:r>
          </w:p>
        </w:tc>
      </w:tr>
      <w:tr w:rsidR="003859EC" w:rsidRPr="00255291" w14:paraId="593050F4" w14:textId="77777777" w:rsidTr="009A1BE7">
        <w:tc>
          <w:tcPr>
            <w:tcW w:w="2028" w:type="dxa"/>
          </w:tcPr>
          <w:p w14:paraId="048B2756" w14:textId="77777777" w:rsidR="003859EC" w:rsidRPr="009A1BE7" w:rsidRDefault="003859EC" w:rsidP="003859EC">
            <w:pPr>
              <w:rPr>
                <w:sz w:val="20"/>
              </w:rPr>
            </w:pPr>
            <w:r w:rsidRPr="009A1BE7">
              <w:rPr>
                <w:sz w:val="20"/>
              </w:rPr>
              <w:t>Time measurement</w:t>
            </w:r>
          </w:p>
        </w:tc>
        <w:tc>
          <w:tcPr>
            <w:tcW w:w="7447" w:type="dxa"/>
          </w:tcPr>
          <w:p w14:paraId="261D9D82" w14:textId="3344F7FF" w:rsidR="003859EC" w:rsidRPr="009A1BE7" w:rsidRDefault="003859EC">
            <w:pPr>
              <w:rPr>
                <w:sz w:val="20"/>
              </w:rPr>
            </w:pPr>
            <w:r w:rsidRPr="009A1BE7">
              <w:rPr>
                <w:sz w:val="20"/>
              </w:rPr>
              <w:t xml:space="preserve">Participants shall be counted upon the date they receive support by the measures under the Facility </w:t>
            </w:r>
            <w:r w:rsidRPr="009A1BE7">
              <w:rPr>
                <w:sz w:val="20"/>
                <w:lang w:val="en-IE"/>
              </w:rPr>
              <w:t>(as defined in the general principles)</w:t>
            </w:r>
            <w:r w:rsidRPr="009A1BE7">
              <w:rPr>
                <w:sz w:val="20"/>
              </w:rPr>
              <w:t>.</w:t>
            </w:r>
          </w:p>
        </w:tc>
      </w:tr>
      <w:tr w:rsidR="008C58E6" w:rsidRPr="00255291" w14:paraId="035A70BD" w14:textId="77777777" w:rsidTr="009A1BE7">
        <w:tc>
          <w:tcPr>
            <w:tcW w:w="2028" w:type="dxa"/>
          </w:tcPr>
          <w:p w14:paraId="77DAC772" w14:textId="14F7EE43" w:rsidR="008C58E6" w:rsidRPr="009A1BE7" w:rsidRDefault="008C58E6" w:rsidP="003859EC">
            <w:pPr>
              <w:rPr>
                <w:sz w:val="20"/>
              </w:rPr>
            </w:pPr>
            <w:r w:rsidRPr="009A1BE7">
              <w:rPr>
                <w:sz w:val="20"/>
              </w:rPr>
              <w:t>Counting methodology</w:t>
            </w:r>
          </w:p>
        </w:tc>
        <w:tc>
          <w:tcPr>
            <w:tcW w:w="7447" w:type="dxa"/>
          </w:tcPr>
          <w:p w14:paraId="7A689E1B" w14:textId="77777777" w:rsidR="008C58E6" w:rsidRPr="009A1BE7" w:rsidRDefault="008C58E6" w:rsidP="003859EC">
            <w:pPr>
              <w:rPr>
                <w:sz w:val="20"/>
                <w:lang w:val="en-IE"/>
              </w:rPr>
            </w:pPr>
            <w:r w:rsidRPr="009A1BE7">
              <w:rPr>
                <w:sz w:val="20"/>
                <w:lang w:val="en-IE"/>
              </w:rPr>
              <w:t xml:space="preserve">A young person shall be counted per support received, even if it lasts several years. Additionally, a young person supported under two </w:t>
            </w:r>
            <w:r w:rsidRPr="009A1BE7">
              <w:rPr>
                <w:i/>
                <w:sz w:val="20"/>
                <w:lang w:val="en-IE"/>
              </w:rPr>
              <w:t>different</w:t>
            </w:r>
            <w:r w:rsidRPr="009A1BE7">
              <w:rPr>
                <w:sz w:val="20"/>
                <w:lang w:val="en-IE"/>
              </w:rPr>
              <w:t xml:space="preserve"> schemes should be counted twice – once per support scheme (as defined in the general principles).</w:t>
            </w:r>
          </w:p>
          <w:p w14:paraId="1F22566E" w14:textId="703BD087" w:rsidR="008C58E6" w:rsidRPr="009A1BE7" w:rsidRDefault="008C58E6" w:rsidP="003859EC">
            <w:pPr>
              <w:rPr>
                <w:sz w:val="20"/>
              </w:rPr>
            </w:pPr>
            <w:r w:rsidRPr="009A1BE7">
              <w:rPr>
                <w:sz w:val="20"/>
                <w:lang w:val="en-IE"/>
              </w:rPr>
              <w:t>It is understood that this indicator could include persons supported under indicators 10 and 11. The numbers reported under the age bracket 18-29 for indicators 10 and 11 should always be smaller than the number reported for this indicator.</w:t>
            </w:r>
          </w:p>
        </w:tc>
      </w:tr>
      <w:tr w:rsidR="003859EC" w:rsidRPr="00255291" w14:paraId="70748672" w14:textId="77777777" w:rsidTr="009A1BE7">
        <w:tc>
          <w:tcPr>
            <w:tcW w:w="2028" w:type="dxa"/>
          </w:tcPr>
          <w:p w14:paraId="2D9E7A7B" w14:textId="77777777" w:rsidR="003859EC" w:rsidRPr="009A1BE7" w:rsidRDefault="003859EC" w:rsidP="003859EC">
            <w:pPr>
              <w:rPr>
                <w:sz w:val="20"/>
              </w:rPr>
            </w:pPr>
            <w:r w:rsidRPr="009A1BE7">
              <w:rPr>
                <w:sz w:val="20"/>
              </w:rPr>
              <w:t>Disaggregation issues</w:t>
            </w:r>
          </w:p>
        </w:tc>
        <w:tc>
          <w:tcPr>
            <w:tcW w:w="7447" w:type="dxa"/>
          </w:tcPr>
          <w:p w14:paraId="33CD925B" w14:textId="77777777" w:rsidR="003859EC" w:rsidRPr="009A1BE7" w:rsidRDefault="003859EC" w:rsidP="003859EC">
            <w:pPr>
              <w:rPr>
                <w:sz w:val="20"/>
              </w:rPr>
            </w:pPr>
            <w:r w:rsidRPr="009A1BE7">
              <w:rPr>
                <w:sz w:val="20"/>
              </w:rPr>
              <w:t>The indicator shall be disaggregated by gender.</w:t>
            </w:r>
          </w:p>
        </w:tc>
      </w:tr>
      <w:tr w:rsidR="003859EC" w:rsidRPr="00255291" w14:paraId="759FACDF" w14:textId="77777777" w:rsidTr="009A1BE7">
        <w:tc>
          <w:tcPr>
            <w:tcW w:w="2028" w:type="dxa"/>
          </w:tcPr>
          <w:p w14:paraId="4156B801" w14:textId="77777777" w:rsidR="003859EC" w:rsidRPr="009A1BE7" w:rsidRDefault="003859EC" w:rsidP="003859EC">
            <w:pPr>
              <w:rPr>
                <w:sz w:val="20"/>
              </w:rPr>
            </w:pPr>
            <w:r w:rsidRPr="009A1BE7">
              <w:rPr>
                <w:sz w:val="20"/>
              </w:rPr>
              <w:t xml:space="preserve">References </w:t>
            </w:r>
          </w:p>
        </w:tc>
        <w:tc>
          <w:tcPr>
            <w:tcW w:w="7447" w:type="dxa"/>
          </w:tcPr>
          <w:p w14:paraId="36DDCA1E" w14:textId="5951762A" w:rsidR="003859EC" w:rsidRPr="009A1BE7" w:rsidRDefault="008C58E6" w:rsidP="003859EC">
            <w:pPr>
              <w:pStyle w:val="Default"/>
              <w:jc w:val="both"/>
              <w:rPr>
                <w:sz w:val="20"/>
              </w:rPr>
            </w:pPr>
            <w:r w:rsidRPr="009A1BE7">
              <w:rPr>
                <w:sz w:val="20"/>
              </w:rPr>
              <w:t>NA</w:t>
            </w:r>
          </w:p>
        </w:tc>
      </w:tr>
      <w:tr w:rsidR="003859EC" w:rsidRPr="00255291" w14:paraId="4FD373A6" w14:textId="77777777" w:rsidTr="009A1BE7">
        <w:tc>
          <w:tcPr>
            <w:tcW w:w="2028" w:type="dxa"/>
          </w:tcPr>
          <w:p w14:paraId="09B7EE43" w14:textId="77777777" w:rsidR="003859EC" w:rsidRPr="009A1BE7" w:rsidRDefault="003859EC" w:rsidP="003859EC">
            <w:pPr>
              <w:rPr>
                <w:sz w:val="20"/>
              </w:rPr>
            </w:pPr>
            <w:r w:rsidRPr="009A1BE7">
              <w:rPr>
                <w:sz w:val="20"/>
              </w:rPr>
              <w:t>Corresponding Structural Funds indicator(s)</w:t>
            </w:r>
          </w:p>
        </w:tc>
        <w:tc>
          <w:tcPr>
            <w:tcW w:w="7447" w:type="dxa"/>
          </w:tcPr>
          <w:p w14:paraId="703C2E91" w14:textId="77777777" w:rsidR="003859EC" w:rsidRPr="009A1BE7" w:rsidRDefault="003859EC" w:rsidP="003859EC">
            <w:pPr>
              <w:pStyle w:val="Default"/>
              <w:jc w:val="both"/>
              <w:rPr>
                <w:sz w:val="20"/>
                <w:szCs w:val="23"/>
              </w:rPr>
            </w:pPr>
            <w:r w:rsidRPr="009A1BE7">
              <w:rPr>
                <w:sz w:val="20"/>
                <w:szCs w:val="23"/>
              </w:rPr>
              <w:t>EECO07 Participants aged 18-29 years</w:t>
            </w:r>
          </w:p>
        </w:tc>
      </w:tr>
    </w:tbl>
    <w:p w14:paraId="7E08949F" w14:textId="77777777" w:rsidR="00FB64C0" w:rsidRPr="00255291" w:rsidRDefault="00FB64C0" w:rsidP="00FB64C0"/>
    <w:p w14:paraId="2A3A987D" w14:textId="77777777" w:rsidR="00631804" w:rsidRPr="00255291" w:rsidRDefault="00631804" w:rsidP="00FB64C0"/>
    <w:sectPr w:rsidR="00631804" w:rsidRPr="00255291" w:rsidSect="000F0B36">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AE14B" w14:textId="77777777" w:rsidR="00431302" w:rsidRDefault="00431302" w:rsidP="008709B0">
      <w:pPr>
        <w:spacing w:before="0" w:after="0"/>
      </w:pPr>
      <w:r>
        <w:separator/>
      </w:r>
    </w:p>
  </w:endnote>
  <w:endnote w:type="continuationSeparator" w:id="0">
    <w:p w14:paraId="488C6813" w14:textId="77777777" w:rsidR="00431302" w:rsidRDefault="00431302" w:rsidP="008709B0">
      <w:pPr>
        <w:spacing w:before="0" w:after="0"/>
      </w:pPr>
      <w:r>
        <w:continuationSeparator/>
      </w:r>
    </w:p>
  </w:endnote>
  <w:endnote w:type="continuationNotice" w:id="1">
    <w:p w14:paraId="7AB083CE" w14:textId="77777777" w:rsidR="00431302" w:rsidRDefault="0043130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321EE" w14:textId="77777777" w:rsidR="00C44CED" w:rsidRDefault="00C44C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902305"/>
      <w:docPartObj>
        <w:docPartGallery w:val="Page Numbers (Bottom of Page)"/>
        <w:docPartUnique/>
      </w:docPartObj>
    </w:sdtPr>
    <w:sdtEndPr>
      <w:rPr>
        <w:noProof/>
      </w:rPr>
    </w:sdtEndPr>
    <w:sdtContent>
      <w:p w14:paraId="7A0CC9C5" w14:textId="76728739" w:rsidR="00C44CED" w:rsidRDefault="00C44CED">
        <w:pPr>
          <w:pStyle w:val="Footer"/>
          <w:jc w:val="center"/>
        </w:pPr>
        <w:r>
          <w:fldChar w:fldCharType="begin"/>
        </w:r>
        <w:r>
          <w:instrText xml:space="preserve"> PAGE   \* MERGEFORMAT </w:instrText>
        </w:r>
        <w:r>
          <w:fldChar w:fldCharType="separate"/>
        </w:r>
        <w:r w:rsidR="00101080">
          <w:rPr>
            <w:noProof/>
          </w:rPr>
          <w:t>1</w:t>
        </w:r>
        <w:r>
          <w:rPr>
            <w:noProof/>
          </w:rPr>
          <w:fldChar w:fldCharType="end"/>
        </w:r>
      </w:p>
    </w:sdtContent>
  </w:sdt>
  <w:p w14:paraId="57A57CC2" w14:textId="77777777" w:rsidR="00C44CED" w:rsidRPr="00F51F68" w:rsidRDefault="00C44CED">
    <w:pPr>
      <w:pStyle w:val="FooterLandscape"/>
      <w:rPr>
        <w:rFonts w:ascii="Arial" w:hAnsi="Arial" w:cs="Arial"/>
        <w:b/>
        <w:bCs/>
        <w:sz w:val="48"/>
        <w:szCs w:val="4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2A188" w14:textId="77777777" w:rsidR="00C44CED" w:rsidRPr="0007424D" w:rsidRDefault="00C44CED" w:rsidP="00917141">
    <w:pPr>
      <w:pStyle w:val="FooterLandscap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85A48" w14:textId="77777777" w:rsidR="00431302" w:rsidRDefault="00431302" w:rsidP="008709B0">
      <w:pPr>
        <w:spacing w:before="0" w:after="0"/>
      </w:pPr>
      <w:r>
        <w:separator/>
      </w:r>
    </w:p>
  </w:footnote>
  <w:footnote w:type="continuationSeparator" w:id="0">
    <w:p w14:paraId="71B349B2" w14:textId="77777777" w:rsidR="00431302" w:rsidRDefault="00431302" w:rsidP="008709B0">
      <w:pPr>
        <w:spacing w:before="0" w:after="0"/>
      </w:pPr>
      <w:r>
        <w:continuationSeparator/>
      </w:r>
    </w:p>
  </w:footnote>
  <w:footnote w:type="continuationNotice" w:id="1">
    <w:p w14:paraId="71D2311F" w14:textId="77777777" w:rsidR="00431302" w:rsidRDefault="00431302">
      <w:pPr>
        <w:spacing w:before="0" w:after="0"/>
      </w:pPr>
    </w:p>
  </w:footnote>
  <w:footnote w:id="2">
    <w:p w14:paraId="6D050F49" w14:textId="358D0A24" w:rsidR="00C44CED" w:rsidRPr="00613EC9" w:rsidRDefault="00C44CED" w:rsidP="00613EC9">
      <w:pPr>
        <w:rPr>
          <w:sz w:val="22"/>
          <w:lang w:val="en-US"/>
        </w:rPr>
      </w:pPr>
      <w:r w:rsidRPr="00613EC9">
        <w:rPr>
          <w:rStyle w:val="FootnoteReference"/>
          <w:sz w:val="20"/>
        </w:rPr>
        <w:footnoteRef/>
      </w:r>
      <w:r w:rsidRPr="00613EC9">
        <w:rPr>
          <w:sz w:val="20"/>
        </w:rPr>
        <w:t xml:space="preserve"> </w:t>
      </w:r>
      <w:hyperlink r:id="rId1" w:history="1">
        <w:r w:rsidRPr="00613EC9">
          <w:rPr>
            <w:rStyle w:val="Hyperlink"/>
            <w:sz w:val="20"/>
          </w:rPr>
          <w:t>https://eur-lex.europa.eu/legal-content/EN/TXT/?uri=COM:2021:82:FIN</w:t>
        </w:r>
      </w:hyperlink>
      <w:r>
        <w:rPr>
          <w:sz w:val="20"/>
        </w:rPr>
        <w:t xml:space="preserve"> </w:t>
      </w:r>
    </w:p>
  </w:footnote>
  <w:footnote w:id="3">
    <w:p w14:paraId="7D23E3A8" w14:textId="231381D6" w:rsidR="00C44CED" w:rsidRPr="00D25D15" w:rsidRDefault="00C44CED">
      <w:pPr>
        <w:pStyle w:val="FootnoteText"/>
      </w:pPr>
      <w:r>
        <w:rPr>
          <w:rStyle w:val="FootnoteReference"/>
        </w:rPr>
        <w:footnoteRef/>
      </w:r>
      <w:r>
        <w:t xml:space="preserve"> </w:t>
      </w:r>
      <w:r w:rsidRPr="00D25D15">
        <w:t>https://ec.europa.eu/eurostat/en/web/products-manuals-and-guidelines/-/ks-gq-15-011</w:t>
      </w:r>
    </w:p>
  </w:footnote>
  <w:footnote w:id="4">
    <w:p w14:paraId="7505F04E" w14:textId="77777777" w:rsidR="00C44CED" w:rsidRPr="004959CF" w:rsidRDefault="00C44CED" w:rsidP="00CF390C">
      <w:pPr>
        <w:pStyle w:val="FootnoteText"/>
      </w:pPr>
      <w:r>
        <w:rPr>
          <w:rStyle w:val="FootnoteReference"/>
        </w:rPr>
        <w:footnoteRef/>
      </w:r>
      <w:hyperlink r:id="rId2" w:anchor="Coverage_and_mandate" w:history="1">
        <w:r w:rsidRPr="005F679B">
          <w:rPr>
            <w:rStyle w:val="Hyperlink"/>
          </w:rPr>
          <w:t>https://ec.europa.eu/eurostat/statistics-explained/index.php?title=Adult_Education_Survey_(AES)_methodology#Coverage_and_mandate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50ADE" w14:textId="77777777" w:rsidR="00C44CED" w:rsidRDefault="00C44C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Letterhead"/>
      <w:tblW w:w="9480" w:type="dxa"/>
      <w:tblLook w:val="04A0" w:firstRow="1" w:lastRow="0" w:firstColumn="1" w:lastColumn="0" w:noHBand="0" w:noVBand="1"/>
    </w:tblPr>
    <w:tblGrid>
      <w:gridCol w:w="1985"/>
      <w:gridCol w:w="7495"/>
    </w:tblGrid>
    <w:tr w:rsidR="006552FF" w14:paraId="62F95247" w14:textId="77777777" w:rsidTr="00101080">
      <w:tc>
        <w:tcPr>
          <w:tcW w:w="1985" w:type="dxa"/>
        </w:tcPr>
        <w:p w14:paraId="5747419A" w14:textId="5FD2475A" w:rsidR="006552FF" w:rsidRDefault="006552FF" w:rsidP="006552FF">
          <w:pPr>
            <w:pStyle w:val="ZFlag"/>
          </w:pPr>
        </w:p>
      </w:tc>
      <w:tc>
        <w:tcPr>
          <w:tcW w:w="7495" w:type="dxa"/>
        </w:tcPr>
        <w:p w14:paraId="725C88CF" w14:textId="19E420FD" w:rsidR="006552FF" w:rsidRDefault="006552FF" w:rsidP="008E0873">
          <w:pPr>
            <w:pStyle w:val="ZDGName"/>
            <w:jc w:val="right"/>
            <w:rPr>
              <w:b/>
            </w:rPr>
          </w:pPr>
        </w:p>
      </w:tc>
    </w:tr>
  </w:tbl>
  <w:p w14:paraId="36788E52" w14:textId="77777777" w:rsidR="00C44CED" w:rsidRPr="0007424D" w:rsidRDefault="00C44CED" w:rsidP="00917141">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D98FF" w14:textId="77777777" w:rsidR="00C44CED" w:rsidRPr="0007424D" w:rsidRDefault="00C44CED" w:rsidP="00917141">
    <w:pPr>
      <w:pStyle w:val="HeaderLandscap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FE2"/>
    <w:multiLevelType w:val="hybridMultilevel"/>
    <w:tmpl w:val="031CA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E2518"/>
    <w:multiLevelType w:val="multilevel"/>
    <w:tmpl w:val="FF063FEC"/>
    <w:lvl w:ilvl="0">
      <w:start w:val="3"/>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 w15:restartNumberingAfterBreak="0">
    <w:nsid w:val="016D7326"/>
    <w:multiLevelType w:val="multilevel"/>
    <w:tmpl w:val="FF063FEC"/>
    <w:lvl w:ilvl="0">
      <w:start w:val="3"/>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 w15:restartNumberingAfterBreak="0">
    <w:nsid w:val="02A06B80"/>
    <w:multiLevelType w:val="hybridMultilevel"/>
    <w:tmpl w:val="3802ECC0"/>
    <w:lvl w:ilvl="0" w:tplc="BC3CFCDC">
      <w:start w:val="1"/>
      <w:numFmt w:val="bullet"/>
      <w:lvlText w:val=""/>
      <w:lvlJc w:val="left"/>
      <w:pPr>
        <w:ind w:left="1080" w:hanging="360"/>
      </w:pPr>
      <w:rPr>
        <w:rFonts w:ascii="Wingdings" w:eastAsiaTheme="minorHAnsi"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3FB54BF"/>
    <w:multiLevelType w:val="hybridMultilevel"/>
    <w:tmpl w:val="F5A0B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F3A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3E6077"/>
    <w:multiLevelType w:val="hybridMultilevel"/>
    <w:tmpl w:val="E7A67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527F2"/>
    <w:multiLevelType w:val="hybridMultilevel"/>
    <w:tmpl w:val="FD347AF6"/>
    <w:lvl w:ilvl="0" w:tplc="C1A69844">
      <w:start w:val="1"/>
      <w:numFmt w:val="lowerRoman"/>
      <w:lvlText w:val="%1)"/>
      <w:lvlJc w:val="left"/>
      <w:pPr>
        <w:ind w:left="1080" w:hanging="72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1B6DE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7641ED"/>
    <w:multiLevelType w:val="multilevel"/>
    <w:tmpl w:val="FF063FEC"/>
    <w:lvl w:ilvl="0">
      <w:start w:val="3"/>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0" w15:restartNumberingAfterBreak="0">
    <w:nsid w:val="18565D99"/>
    <w:multiLevelType w:val="multilevel"/>
    <w:tmpl w:val="1084E63E"/>
    <w:lvl w:ilvl="0">
      <w:start w:val="1"/>
      <w:numFmt w:val="decimal"/>
      <w:lvlText w:val="%1"/>
      <w:lvlJc w:val="left"/>
      <w:pPr>
        <w:ind w:left="360" w:hanging="360"/>
      </w:pPr>
      <w:rPr>
        <w:rFonts w:hint="default"/>
      </w:rPr>
    </w:lvl>
    <w:lvl w:ilvl="1">
      <w:start w:val="4"/>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1" w15:restartNumberingAfterBreak="0">
    <w:nsid w:val="1A2F292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D34A9C"/>
    <w:multiLevelType w:val="hybridMultilevel"/>
    <w:tmpl w:val="034CDA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7A6412"/>
    <w:multiLevelType w:val="hybridMultilevel"/>
    <w:tmpl w:val="A350DE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2567662"/>
    <w:multiLevelType w:val="multilevel"/>
    <w:tmpl w:val="EE8E67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BF9354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242008"/>
    <w:multiLevelType w:val="hybridMultilevel"/>
    <w:tmpl w:val="BB38FB6A"/>
    <w:lvl w:ilvl="0" w:tplc="BF26951C">
      <w:start w:val="20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E446B7"/>
    <w:multiLevelType w:val="hybridMultilevel"/>
    <w:tmpl w:val="23024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90529D"/>
    <w:multiLevelType w:val="multilevel"/>
    <w:tmpl w:val="418AA28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0E61DC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1820E16"/>
    <w:multiLevelType w:val="hybridMultilevel"/>
    <w:tmpl w:val="13EE01EC"/>
    <w:lvl w:ilvl="0" w:tplc="1782334A">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31DD33AE"/>
    <w:multiLevelType w:val="hybridMultilevel"/>
    <w:tmpl w:val="E05477EE"/>
    <w:lvl w:ilvl="0" w:tplc="0409000F">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A1521C"/>
    <w:multiLevelType w:val="hybridMultilevel"/>
    <w:tmpl w:val="E4D0BE24"/>
    <w:lvl w:ilvl="0" w:tplc="064879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743D9B"/>
    <w:multiLevelType w:val="hybridMultilevel"/>
    <w:tmpl w:val="3BF21E4E"/>
    <w:lvl w:ilvl="0" w:tplc="2BA01B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3B2393"/>
    <w:multiLevelType w:val="hybridMultilevel"/>
    <w:tmpl w:val="031CA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E03A8D"/>
    <w:multiLevelType w:val="hybridMultilevel"/>
    <w:tmpl w:val="031CA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1A7224"/>
    <w:multiLevelType w:val="hybridMultilevel"/>
    <w:tmpl w:val="031CA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B81E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B4170D"/>
    <w:multiLevelType w:val="hybridMultilevel"/>
    <w:tmpl w:val="34B08B06"/>
    <w:lvl w:ilvl="0" w:tplc="73CCEEF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911315"/>
    <w:multiLevelType w:val="hybridMultilevel"/>
    <w:tmpl w:val="031CA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1077B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C744AB"/>
    <w:multiLevelType w:val="multilevel"/>
    <w:tmpl w:val="1F32271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1C3613F"/>
    <w:multiLevelType w:val="hybridMultilevel"/>
    <w:tmpl w:val="F2A09A56"/>
    <w:lvl w:ilvl="0" w:tplc="E8F8F4E8">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5D75A8"/>
    <w:multiLevelType w:val="hybridMultilevel"/>
    <w:tmpl w:val="FD347AF6"/>
    <w:lvl w:ilvl="0" w:tplc="C1A69844">
      <w:start w:val="1"/>
      <w:numFmt w:val="lowerRoman"/>
      <w:lvlText w:val="%1)"/>
      <w:lvlJc w:val="left"/>
      <w:pPr>
        <w:ind w:left="1080" w:hanging="72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E5562A"/>
    <w:multiLevelType w:val="hybridMultilevel"/>
    <w:tmpl w:val="34B08B06"/>
    <w:lvl w:ilvl="0" w:tplc="73CCEE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A90208"/>
    <w:multiLevelType w:val="multilevel"/>
    <w:tmpl w:val="18BC4EFC"/>
    <w:name w:val="ListBullet2Numbering"/>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AB1E11"/>
    <w:multiLevelType w:val="hybridMultilevel"/>
    <w:tmpl w:val="33FE0270"/>
    <w:lvl w:ilvl="0" w:tplc="6C5C8FD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985D95"/>
    <w:multiLevelType w:val="hybridMultilevel"/>
    <w:tmpl w:val="031CA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C567BA"/>
    <w:multiLevelType w:val="hybridMultilevel"/>
    <w:tmpl w:val="FD347AF6"/>
    <w:lvl w:ilvl="0" w:tplc="C1A69844">
      <w:start w:val="1"/>
      <w:numFmt w:val="low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5F264F"/>
    <w:multiLevelType w:val="hybridMultilevel"/>
    <w:tmpl w:val="D0443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BA11F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F072B52"/>
    <w:multiLevelType w:val="multilevel"/>
    <w:tmpl w:val="FF063FEC"/>
    <w:lvl w:ilvl="0">
      <w:start w:val="3"/>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2" w15:restartNumberingAfterBreak="0">
    <w:nsid w:val="71104062"/>
    <w:multiLevelType w:val="hybridMultilevel"/>
    <w:tmpl w:val="031CA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7D07D4"/>
    <w:multiLevelType w:val="multilevel"/>
    <w:tmpl w:val="FF063FEC"/>
    <w:lvl w:ilvl="0">
      <w:start w:val="3"/>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4" w15:restartNumberingAfterBreak="0">
    <w:nsid w:val="73316008"/>
    <w:multiLevelType w:val="hybridMultilevel"/>
    <w:tmpl w:val="031CA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C3173E"/>
    <w:multiLevelType w:val="hybridMultilevel"/>
    <w:tmpl w:val="E12C0094"/>
    <w:lvl w:ilvl="0" w:tplc="097E93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DF2F7B"/>
    <w:multiLevelType w:val="hybridMultilevel"/>
    <w:tmpl w:val="4EB4C508"/>
    <w:lvl w:ilvl="0" w:tplc="2EA4BA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2A2381"/>
    <w:multiLevelType w:val="hybridMultilevel"/>
    <w:tmpl w:val="D03E8AD4"/>
    <w:lvl w:ilvl="0" w:tplc="78AC0164">
      <w:start w:val="1"/>
      <w:numFmt w:val="bullet"/>
      <w:lvlText w:val=""/>
      <w:lvlJc w:val="left"/>
      <w:pPr>
        <w:ind w:left="1080" w:hanging="360"/>
      </w:pPr>
      <w:rPr>
        <w:rFonts w:ascii="Wingdings" w:eastAsiaTheme="minorHAnsi"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3"/>
  </w:num>
  <w:num w:numId="2">
    <w:abstractNumId w:val="15"/>
  </w:num>
  <w:num w:numId="3">
    <w:abstractNumId w:val="37"/>
  </w:num>
  <w:num w:numId="4">
    <w:abstractNumId w:val="25"/>
  </w:num>
  <w:num w:numId="5">
    <w:abstractNumId w:val="0"/>
  </w:num>
  <w:num w:numId="6">
    <w:abstractNumId w:val="44"/>
  </w:num>
  <w:num w:numId="7">
    <w:abstractNumId w:val="21"/>
  </w:num>
  <w:num w:numId="8">
    <w:abstractNumId w:val="42"/>
  </w:num>
  <w:num w:numId="9">
    <w:abstractNumId w:val="38"/>
  </w:num>
  <w:num w:numId="10">
    <w:abstractNumId w:val="7"/>
  </w:num>
  <w:num w:numId="11">
    <w:abstractNumId w:val="33"/>
  </w:num>
  <w:num w:numId="12">
    <w:abstractNumId w:val="24"/>
  </w:num>
  <w:num w:numId="13">
    <w:abstractNumId w:val="29"/>
  </w:num>
  <w:num w:numId="14">
    <w:abstractNumId w:val="26"/>
  </w:num>
  <w:num w:numId="15">
    <w:abstractNumId w:val="32"/>
  </w:num>
  <w:num w:numId="16">
    <w:abstractNumId w:val="45"/>
  </w:num>
  <w:num w:numId="17">
    <w:abstractNumId w:val="5"/>
  </w:num>
  <w:num w:numId="18">
    <w:abstractNumId w:val="27"/>
  </w:num>
  <w:num w:numId="19">
    <w:abstractNumId w:val="43"/>
  </w:num>
  <w:num w:numId="20">
    <w:abstractNumId w:val="9"/>
  </w:num>
  <w:num w:numId="21">
    <w:abstractNumId w:val="41"/>
  </w:num>
  <w:num w:numId="22">
    <w:abstractNumId w:val="1"/>
  </w:num>
  <w:num w:numId="23">
    <w:abstractNumId w:val="2"/>
  </w:num>
  <w:num w:numId="24">
    <w:abstractNumId w:val="34"/>
  </w:num>
  <w:num w:numId="25">
    <w:abstractNumId w:val="46"/>
  </w:num>
  <w:num w:numId="26">
    <w:abstractNumId w:val="28"/>
  </w:num>
  <w:num w:numId="27">
    <w:abstractNumId w:val="20"/>
  </w:num>
  <w:num w:numId="28">
    <w:abstractNumId w:val="36"/>
  </w:num>
  <w:num w:numId="29">
    <w:abstractNumId w:val="47"/>
  </w:num>
  <w:num w:numId="30">
    <w:abstractNumId w:val="3"/>
  </w:num>
  <w:num w:numId="31">
    <w:abstractNumId w:val="30"/>
  </w:num>
  <w:num w:numId="32">
    <w:abstractNumId w:val="16"/>
  </w:num>
  <w:num w:numId="33">
    <w:abstractNumId w:val="40"/>
  </w:num>
  <w:num w:numId="34">
    <w:abstractNumId w:val="39"/>
  </w:num>
  <w:num w:numId="35">
    <w:abstractNumId w:val="11"/>
  </w:num>
  <w:num w:numId="36">
    <w:abstractNumId w:val="6"/>
  </w:num>
  <w:num w:numId="37">
    <w:abstractNumId w:val="22"/>
  </w:num>
  <w:num w:numId="38">
    <w:abstractNumId w:val="19"/>
  </w:num>
  <w:num w:numId="39">
    <w:abstractNumId w:val="8"/>
  </w:num>
  <w:num w:numId="40">
    <w:abstractNumId w:val="10"/>
  </w:num>
  <w:num w:numId="41">
    <w:abstractNumId w:val="13"/>
  </w:num>
  <w:num w:numId="42">
    <w:abstractNumId w:val="4"/>
  </w:num>
  <w:num w:numId="43">
    <w:abstractNumId w:val="14"/>
  </w:num>
  <w:num w:numId="44">
    <w:abstractNumId w:val="31"/>
  </w:num>
  <w:num w:numId="45">
    <w:abstractNumId w:val="18"/>
  </w:num>
  <w:num w:numId="46">
    <w:abstractNumId w:val="12"/>
  </w:num>
  <w:num w:numId="47">
    <w:abstractNumId w:val="17"/>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709B0"/>
    <w:rsid w:val="0000009D"/>
    <w:rsid w:val="0000097C"/>
    <w:rsid w:val="00002F84"/>
    <w:rsid w:val="00010FAD"/>
    <w:rsid w:val="00011800"/>
    <w:rsid w:val="000144E3"/>
    <w:rsid w:val="00022340"/>
    <w:rsid w:val="00023C10"/>
    <w:rsid w:val="00034E68"/>
    <w:rsid w:val="00036643"/>
    <w:rsid w:val="00036F8F"/>
    <w:rsid w:val="00044A34"/>
    <w:rsid w:val="000463B4"/>
    <w:rsid w:val="00046985"/>
    <w:rsid w:val="00053A85"/>
    <w:rsid w:val="00063320"/>
    <w:rsid w:val="00064DF3"/>
    <w:rsid w:val="00065159"/>
    <w:rsid w:val="00066BB7"/>
    <w:rsid w:val="000714CF"/>
    <w:rsid w:val="00071BDB"/>
    <w:rsid w:val="00073062"/>
    <w:rsid w:val="00075679"/>
    <w:rsid w:val="00075E96"/>
    <w:rsid w:val="00076ADF"/>
    <w:rsid w:val="00080E9F"/>
    <w:rsid w:val="00084801"/>
    <w:rsid w:val="000849F9"/>
    <w:rsid w:val="00084B65"/>
    <w:rsid w:val="000852D1"/>
    <w:rsid w:val="00091B69"/>
    <w:rsid w:val="000934DC"/>
    <w:rsid w:val="00094A0B"/>
    <w:rsid w:val="000A2FAB"/>
    <w:rsid w:val="000A42AD"/>
    <w:rsid w:val="000B02CC"/>
    <w:rsid w:val="000B05DA"/>
    <w:rsid w:val="000B1B99"/>
    <w:rsid w:val="000B21A8"/>
    <w:rsid w:val="000B2FDA"/>
    <w:rsid w:val="000C09D3"/>
    <w:rsid w:val="000C0AA6"/>
    <w:rsid w:val="000D425F"/>
    <w:rsid w:val="000D5635"/>
    <w:rsid w:val="000E1453"/>
    <w:rsid w:val="000E7258"/>
    <w:rsid w:val="000E7477"/>
    <w:rsid w:val="000F0B36"/>
    <w:rsid w:val="000F2EC4"/>
    <w:rsid w:val="000F590A"/>
    <w:rsid w:val="000F6982"/>
    <w:rsid w:val="00101080"/>
    <w:rsid w:val="0010475E"/>
    <w:rsid w:val="00106147"/>
    <w:rsid w:val="00107C75"/>
    <w:rsid w:val="00111F8A"/>
    <w:rsid w:val="00115267"/>
    <w:rsid w:val="0011566B"/>
    <w:rsid w:val="0012052E"/>
    <w:rsid w:val="00120840"/>
    <w:rsid w:val="00121D78"/>
    <w:rsid w:val="00122AA2"/>
    <w:rsid w:val="00122D90"/>
    <w:rsid w:val="00123B35"/>
    <w:rsid w:val="00123F25"/>
    <w:rsid w:val="001325BE"/>
    <w:rsid w:val="001328DE"/>
    <w:rsid w:val="001377F0"/>
    <w:rsid w:val="001550EF"/>
    <w:rsid w:val="00156A89"/>
    <w:rsid w:val="00161E20"/>
    <w:rsid w:val="001655EE"/>
    <w:rsid w:val="0016562F"/>
    <w:rsid w:val="00166C26"/>
    <w:rsid w:val="0016706E"/>
    <w:rsid w:val="00174234"/>
    <w:rsid w:val="00175353"/>
    <w:rsid w:val="00175D11"/>
    <w:rsid w:val="00180D2B"/>
    <w:rsid w:val="001826BA"/>
    <w:rsid w:val="00184746"/>
    <w:rsid w:val="00186FF3"/>
    <w:rsid w:val="001873AC"/>
    <w:rsid w:val="00187622"/>
    <w:rsid w:val="00193E65"/>
    <w:rsid w:val="001966AC"/>
    <w:rsid w:val="00196C2F"/>
    <w:rsid w:val="001A1EC9"/>
    <w:rsid w:val="001A44B5"/>
    <w:rsid w:val="001A4B12"/>
    <w:rsid w:val="001A6183"/>
    <w:rsid w:val="001A6DE8"/>
    <w:rsid w:val="001A7FE9"/>
    <w:rsid w:val="001B16A1"/>
    <w:rsid w:val="001B21B0"/>
    <w:rsid w:val="001B21C6"/>
    <w:rsid w:val="001B23AE"/>
    <w:rsid w:val="001C02FE"/>
    <w:rsid w:val="001C7654"/>
    <w:rsid w:val="001C789D"/>
    <w:rsid w:val="001D002E"/>
    <w:rsid w:val="001D1B06"/>
    <w:rsid w:val="001D6F62"/>
    <w:rsid w:val="001E46D0"/>
    <w:rsid w:val="001F1627"/>
    <w:rsid w:val="001F1849"/>
    <w:rsid w:val="001F3D7E"/>
    <w:rsid w:val="001F5716"/>
    <w:rsid w:val="001F5B4B"/>
    <w:rsid w:val="00200B2B"/>
    <w:rsid w:val="0020364E"/>
    <w:rsid w:val="0020564A"/>
    <w:rsid w:val="002116FF"/>
    <w:rsid w:val="002136AA"/>
    <w:rsid w:val="00223026"/>
    <w:rsid w:val="00224DC3"/>
    <w:rsid w:val="0023025E"/>
    <w:rsid w:val="00231BA2"/>
    <w:rsid w:val="0023685E"/>
    <w:rsid w:val="00236B25"/>
    <w:rsid w:val="00242BAC"/>
    <w:rsid w:val="0024455D"/>
    <w:rsid w:val="00253147"/>
    <w:rsid w:val="00253352"/>
    <w:rsid w:val="00255291"/>
    <w:rsid w:val="00257BEE"/>
    <w:rsid w:val="002611A9"/>
    <w:rsid w:val="002637C9"/>
    <w:rsid w:val="00270770"/>
    <w:rsid w:val="002716F0"/>
    <w:rsid w:val="0027236E"/>
    <w:rsid w:val="0027586A"/>
    <w:rsid w:val="00276B37"/>
    <w:rsid w:val="0028074E"/>
    <w:rsid w:val="00281E62"/>
    <w:rsid w:val="002823FA"/>
    <w:rsid w:val="00291851"/>
    <w:rsid w:val="0029267C"/>
    <w:rsid w:val="002937AC"/>
    <w:rsid w:val="002A03A2"/>
    <w:rsid w:val="002A74E7"/>
    <w:rsid w:val="002B31A6"/>
    <w:rsid w:val="002B38C3"/>
    <w:rsid w:val="002C4B7D"/>
    <w:rsid w:val="002C5CC6"/>
    <w:rsid w:val="002D599D"/>
    <w:rsid w:val="002D607C"/>
    <w:rsid w:val="002D7243"/>
    <w:rsid w:val="002D74BF"/>
    <w:rsid w:val="002D765D"/>
    <w:rsid w:val="002D7C0F"/>
    <w:rsid w:val="002E6831"/>
    <w:rsid w:val="002F072B"/>
    <w:rsid w:val="002F16DE"/>
    <w:rsid w:val="002F25DB"/>
    <w:rsid w:val="002F4A04"/>
    <w:rsid w:val="002F6AB1"/>
    <w:rsid w:val="00303582"/>
    <w:rsid w:val="00306D53"/>
    <w:rsid w:val="00311B88"/>
    <w:rsid w:val="003124D9"/>
    <w:rsid w:val="0031280A"/>
    <w:rsid w:val="00316EF2"/>
    <w:rsid w:val="00320188"/>
    <w:rsid w:val="00322A4B"/>
    <w:rsid w:val="003324C6"/>
    <w:rsid w:val="00332CAB"/>
    <w:rsid w:val="00337218"/>
    <w:rsid w:val="00344F7F"/>
    <w:rsid w:val="00351C92"/>
    <w:rsid w:val="0035420B"/>
    <w:rsid w:val="00356023"/>
    <w:rsid w:val="0036112C"/>
    <w:rsid w:val="00364167"/>
    <w:rsid w:val="00367BEE"/>
    <w:rsid w:val="00370BD9"/>
    <w:rsid w:val="00371040"/>
    <w:rsid w:val="0037123D"/>
    <w:rsid w:val="00372202"/>
    <w:rsid w:val="003724AF"/>
    <w:rsid w:val="00372AB1"/>
    <w:rsid w:val="003819EE"/>
    <w:rsid w:val="00381DBE"/>
    <w:rsid w:val="00384139"/>
    <w:rsid w:val="003854AB"/>
    <w:rsid w:val="003859EC"/>
    <w:rsid w:val="003903A9"/>
    <w:rsid w:val="00391BA3"/>
    <w:rsid w:val="003938BF"/>
    <w:rsid w:val="003943C6"/>
    <w:rsid w:val="003A3367"/>
    <w:rsid w:val="003A3828"/>
    <w:rsid w:val="003A585F"/>
    <w:rsid w:val="003B0088"/>
    <w:rsid w:val="003C010D"/>
    <w:rsid w:val="003C455E"/>
    <w:rsid w:val="003D60C9"/>
    <w:rsid w:val="003E39DE"/>
    <w:rsid w:val="003E4519"/>
    <w:rsid w:val="003E5B89"/>
    <w:rsid w:val="003F3B1A"/>
    <w:rsid w:val="0040454E"/>
    <w:rsid w:val="00405F6A"/>
    <w:rsid w:val="0041570D"/>
    <w:rsid w:val="00416921"/>
    <w:rsid w:val="00416B00"/>
    <w:rsid w:val="00416FDB"/>
    <w:rsid w:val="00421F8C"/>
    <w:rsid w:val="00423B76"/>
    <w:rsid w:val="00424617"/>
    <w:rsid w:val="00431302"/>
    <w:rsid w:val="0043272E"/>
    <w:rsid w:val="0043354A"/>
    <w:rsid w:val="00435D4A"/>
    <w:rsid w:val="004413F3"/>
    <w:rsid w:val="00445F66"/>
    <w:rsid w:val="00452AEA"/>
    <w:rsid w:val="00453EE3"/>
    <w:rsid w:val="00455772"/>
    <w:rsid w:val="00460145"/>
    <w:rsid w:val="00461727"/>
    <w:rsid w:val="004619B6"/>
    <w:rsid w:val="0046258B"/>
    <w:rsid w:val="00462E77"/>
    <w:rsid w:val="00465299"/>
    <w:rsid w:val="0046581B"/>
    <w:rsid w:val="00465F68"/>
    <w:rsid w:val="00474D9D"/>
    <w:rsid w:val="00475298"/>
    <w:rsid w:val="004761F7"/>
    <w:rsid w:val="00477E64"/>
    <w:rsid w:val="004805AD"/>
    <w:rsid w:val="00481605"/>
    <w:rsid w:val="0048707F"/>
    <w:rsid w:val="00487694"/>
    <w:rsid w:val="00490FC2"/>
    <w:rsid w:val="00494450"/>
    <w:rsid w:val="00494EE7"/>
    <w:rsid w:val="004959CF"/>
    <w:rsid w:val="00496A29"/>
    <w:rsid w:val="00497D0A"/>
    <w:rsid w:val="004A13F1"/>
    <w:rsid w:val="004A18A1"/>
    <w:rsid w:val="004A3F01"/>
    <w:rsid w:val="004A6C17"/>
    <w:rsid w:val="004A6DE0"/>
    <w:rsid w:val="004B2B45"/>
    <w:rsid w:val="004B6B80"/>
    <w:rsid w:val="004C1D63"/>
    <w:rsid w:val="004C7AA1"/>
    <w:rsid w:val="004D1821"/>
    <w:rsid w:val="004D1D9E"/>
    <w:rsid w:val="004D6A1E"/>
    <w:rsid w:val="004D7571"/>
    <w:rsid w:val="004E32E0"/>
    <w:rsid w:val="004E3B31"/>
    <w:rsid w:val="004E436C"/>
    <w:rsid w:val="004F1503"/>
    <w:rsid w:val="0050324E"/>
    <w:rsid w:val="0050685E"/>
    <w:rsid w:val="00513AD4"/>
    <w:rsid w:val="005216A1"/>
    <w:rsid w:val="00521EDD"/>
    <w:rsid w:val="00522E8D"/>
    <w:rsid w:val="00524DCF"/>
    <w:rsid w:val="0052579D"/>
    <w:rsid w:val="00526ACD"/>
    <w:rsid w:val="00530FC0"/>
    <w:rsid w:val="00532A19"/>
    <w:rsid w:val="0053610B"/>
    <w:rsid w:val="00536E13"/>
    <w:rsid w:val="00554EB5"/>
    <w:rsid w:val="0055651A"/>
    <w:rsid w:val="00562560"/>
    <w:rsid w:val="00565236"/>
    <w:rsid w:val="00571373"/>
    <w:rsid w:val="00571B46"/>
    <w:rsid w:val="00572986"/>
    <w:rsid w:val="00573CF4"/>
    <w:rsid w:val="005749B1"/>
    <w:rsid w:val="00576547"/>
    <w:rsid w:val="00577DC7"/>
    <w:rsid w:val="005820A4"/>
    <w:rsid w:val="0058751E"/>
    <w:rsid w:val="00587D17"/>
    <w:rsid w:val="0059503E"/>
    <w:rsid w:val="0059572C"/>
    <w:rsid w:val="00595DDF"/>
    <w:rsid w:val="00597254"/>
    <w:rsid w:val="00597BFE"/>
    <w:rsid w:val="005A1222"/>
    <w:rsid w:val="005A1909"/>
    <w:rsid w:val="005A4A43"/>
    <w:rsid w:val="005B0190"/>
    <w:rsid w:val="005B3EE9"/>
    <w:rsid w:val="005B5D5B"/>
    <w:rsid w:val="005B71AE"/>
    <w:rsid w:val="005C4F19"/>
    <w:rsid w:val="005C5875"/>
    <w:rsid w:val="005C753D"/>
    <w:rsid w:val="005C7C11"/>
    <w:rsid w:val="005D1DE3"/>
    <w:rsid w:val="005D5456"/>
    <w:rsid w:val="005E4B5B"/>
    <w:rsid w:val="005E569E"/>
    <w:rsid w:val="005F4585"/>
    <w:rsid w:val="005F68C3"/>
    <w:rsid w:val="006063CC"/>
    <w:rsid w:val="006112C7"/>
    <w:rsid w:val="00613150"/>
    <w:rsid w:val="00613EC9"/>
    <w:rsid w:val="00616270"/>
    <w:rsid w:val="00616F43"/>
    <w:rsid w:val="00625413"/>
    <w:rsid w:val="00631804"/>
    <w:rsid w:val="00631E73"/>
    <w:rsid w:val="00633603"/>
    <w:rsid w:val="00634ED3"/>
    <w:rsid w:val="00637110"/>
    <w:rsid w:val="006416B1"/>
    <w:rsid w:val="00641DCF"/>
    <w:rsid w:val="00642C1A"/>
    <w:rsid w:val="00642F4F"/>
    <w:rsid w:val="00643A16"/>
    <w:rsid w:val="00646978"/>
    <w:rsid w:val="006477FC"/>
    <w:rsid w:val="006552FF"/>
    <w:rsid w:val="00661001"/>
    <w:rsid w:val="0066124B"/>
    <w:rsid w:val="0066295C"/>
    <w:rsid w:val="00663B1F"/>
    <w:rsid w:val="00664ACC"/>
    <w:rsid w:val="00665864"/>
    <w:rsid w:val="00665BE7"/>
    <w:rsid w:val="0067148F"/>
    <w:rsid w:val="00674F86"/>
    <w:rsid w:val="006867BA"/>
    <w:rsid w:val="00687AA3"/>
    <w:rsid w:val="006901CF"/>
    <w:rsid w:val="0069185E"/>
    <w:rsid w:val="0069291E"/>
    <w:rsid w:val="00692C05"/>
    <w:rsid w:val="00695605"/>
    <w:rsid w:val="00696079"/>
    <w:rsid w:val="006964A3"/>
    <w:rsid w:val="00697A23"/>
    <w:rsid w:val="006A5BEE"/>
    <w:rsid w:val="006B03B8"/>
    <w:rsid w:val="006B05D4"/>
    <w:rsid w:val="006B0857"/>
    <w:rsid w:val="006B1258"/>
    <w:rsid w:val="006B173D"/>
    <w:rsid w:val="006B2FD1"/>
    <w:rsid w:val="006B5486"/>
    <w:rsid w:val="006B61DB"/>
    <w:rsid w:val="006C2C65"/>
    <w:rsid w:val="006C62FA"/>
    <w:rsid w:val="006C64E1"/>
    <w:rsid w:val="006D1014"/>
    <w:rsid w:val="006D521D"/>
    <w:rsid w:val="006D57FD"/>
    <w:rsid w:val="006E03D6"/>
    <w:rsid w:val="006E1986"/>
    <w:rsid w:val="006E209C"/>
    <w:rsid w:val="006E2CB9"/>
    <w:rsid w:val="006F3364"/>
    <w:rsid w:val="006F681F"/>
    <w:rsid w:val="00700B49"/>
    <w:rsid w:val="00710153"/>
    <w:rsid w:val="00710799"/>
    <w:rsid w:val="00711740"/>
    <w:rsid w:val="00713172"/>
    <w:rsid w:val="0071364B"/>
    <w:rsid w:val="007179CF"/>
    <w:rsid w:val="00720AEB"/>
    <w:rsid w:val="0072493A"/>
    <w:rsid w:val="00732674"/>
    <w:rsid w:val="00734FC4"/>
    <w:rsid w:val="007403CD"/>
    <w:rsid w:val="007406F8"/>
    <w:rsid w:val="00740A4E"/>
    <w:rsid w:val="00745102"/>
    <w:rsid w:val="00746520"/>
    <w:rsid w:val="007501C2"/>
    <w:rsid w:val="00750A81"/>
    <w:rsid w:val="00751788"/>
    <w:rsid w:val="00752FDA"/>
    <w:rsid w:val="00756275"/>
    <w:rsid w:val="00756D9F"/>
    <w:rsid w:val="00760351"/>
    <w:rsid w:val="007646A3"/>
    <w:rsid w:val="0076497C"/>
    <w:rsid w:val="007726C5"/>
    <w:rsid w:val="00773787"/>
    <w:rsid w:val="007762CC"/>
    <w:rsid w:val="00782A8E"/>
    <w:rsid w:val="00784F4F"/>
    <w:rsid w:val="00785372"/>
    <w:rsid w:val="00785F07"/>
    <w:rsid w:val="00795BFD"/>
    <w:rsid w:val="00797206"/>
    <w:rsid w:val="007A54AB"/>
    <w:rsid w:val="007A6078"/>
    <w:rsid w:val="007B12C2"/>
    <w:rsid w:val="007B2113"/>
    <w:rsid w:val="007B213C"/>
    <w:rsid w:val="007B6E5E"/>
    <w:rsid w:val="007B782F"/>
    <w:rsid w:val="007C0A91"/>
    <w:rsid w:val="007C1076"/>
    <w:rsid w:val="007C1200"/>
    <w:rsid w:val="007C65DE"/>
    <w:rsid w:val="007D6418"/>
    <w:rsid w:val="007E0EDD"/>
    <w:rsid w:val="007E1E41"/>
    <w:rsid w:val="007F0B3A"/>
    <w:rsid w:val="007F2094"/>
    <w:rsid w:val="007F29B5"/>
    <w:rsid w:val="007F40E5"/>
    <w:rsid w:val="007F4895"/>
    <w:rsid w:val="007F59CC"/>
    <w:rsid w:val="0080374B"/>
    <w:rsid w:val="008048D4"/>
    <w:rsid w:val="0081231B"/>
    <w:rsid w:val="00813DFD"/>
    <w:rsid w:val="0081670E"/>
    <w:rsid w:val="0082128F"/>
    <w:rsid w:val="00827A4E"/>
    <w:rsid w:val="00827CB0"/>
    <w:rsid w:val="0083147B"/>
    <w:rsid w:val="00831D8F"/>
    <w:rsid w:val="00832706"/>
    <w:rsid w:val="00833DE6"/>
    <w:rsid w:val="008523F1"/>
    <w:rsid w:val="00854983"/>
    <w:rsid w:val="0085524B"/>
    <w:rsid w:val="00857C3C"/>
    <w:rsid w:val="00860CD9"/>
    <w:rsid w:val="008624F4"/>
    <w:rsid w:val="0086273B"/>
    <w:rsid w:val="00862C95"/>
    <w:rsid w:val="008650BA"/>
    <w:rsid w:val="00867E9F"/>
    <w:rsid w:val="008709B0"/>
    <w:rsid w:val="00872EFA"/>
    <w:rsid w:val="00873AA7"/>
    <w:rsid w:val="00875024"/>
    <w:rsid w:val="00875BD4"/>
    <w:rsid w:val="00877169"/>
    <w:rsid w:val="00881CBC"/>
    <w:rsid w:val="008860B2"/>
    <w:rsid w:val="00887884"/>
    <w:rsid w:val="00887A96"/>
    <w:rsid w:val="008933D1"/>
    <w:rsid w:val="008943C1"/>
    <w:rsid w:val="008A2601"/>
    <w:rsid w:val="008B4BFF"/>
    <w:rsid w:val="008B5BED"/>
    <w:rsid w:val="008C00D2"/>
    <w:rsid w:val="008C0586"/>
    <w:rsid w:val="008C496F"/>
    <w:rsid w:val="008C58E6"/>
    <w:rsid w:val="008D0A38"/>
    <w:rsid w:val="008D375B"/>
    <w:rsid w:val="008D73F0"/>
    <w:rsid w:val="008E0873"/>
    <w:rsid w:val="008E2EE3"/>
    <w:rsid w:val="008E7F58"/>
    <w:rsid w:val="008F433E"/>
    <w:rsid w:val="00903085"/>
    <w:rsid w:val="009052B0"/>
    <w:rsid w:val="009053D7"/>
    <w:rsid w:val="00906001"/>
    <w:rsid w:val="00906F0E"/>
    <w:rsid w:val="00914D1F"/>
    <w:rsid w:val="00915590"/>
    <w:rsid w:val="00917141"/>
    <w:rsid w:val="00921542"/>
    <w:rsid w:val="0092657A"/>
    <w:rsid w:val="00930EF0"/>
    <w:rsid w:val="00931741"/>
    <w:rsid w:val="00936D01"/>
    <w:rsid w:val="0094059C"/>
    <w:rsid w:val="009451C2"/>
    <w:rsid w:val="00950986"/>
    <w:rsid w:val="00952039"/>
    <w:rsid w:val="009578F0"/>
    <w:rsid w:val="00957BE5"/>
    <w:rsid w:val="00961401"/>
    <w:rsid w:val="00966665"/>
    <w:rsid w:val="0097062B"/>
    <w:rsid w:val="00970D69"/>
    <w:rsid w:val="009747D2"/>
    <w:rsid w:val="00976D4C"/>
    <w:rsid w:val="009779CE"/>
    <w:rsid w:val="00986BD7"/>
    <w:rsid w:val="00993B25"/>
    <w:rsid w:val="00993FB1"/>
    <w:rsid w:val="009969AE"/>
    <w:rsid w:val="00997AFD"/>
    <w:rsid w:val="009A1BE7"/>
    <w:rsid w:val="009A2063"/>
    <w:rsid w:val="009A36BD"/>
    <w:rsid w:val="009A5D76"/>
    <w:rsid w:val="009A6156"/>
    <w:rsid w:val="009B1494"/>
    <w:rsid w:val="009B2FBC"/>
    <w:rsid w:val="009B6D2D"/>
    <w:rsid w:val="009B7547"/>
    <w:rsid w:val="009B7F72"/>
    <w:rsid w:val="009C14DC"/>
    <w:rsid w:val="009C4425"/>
    <w:rsid w:val="009C56C4"/>
    <w:rsid w:val="009D0B43"/>
    <w:rsid w:val="009D429C"/>
    <w:rsid w:val="009E08FE"/>
    <w:rsid w:val="00A003EB"/>
    <w:rsid w:val="00A05ECA"/>
    <w:rsid w:val="00A06952"/>
    <w:rsid w:val="00A10738"/>
    <w:rsid w:val="00A136BC"/>
    <w:rsid w:val="00A14FF4"/>
    <w:rsid w:val="00A15C7F"/>
    <w:rsid w:val="00A17CD4"/>
    <w:rsid w:val="00A26464"/>
    <w:rsid w:val="00A30164"/>
    <w:rsid w:val="00A3477B"/>
    <w:rsid w:val="00A34D60"/>
    <w:rsid w:val="00A35890"/>
    <w:rsid w:val="00A408C3"/>
    <w:rsid w:val="00A411CB"/>
    <w:rsid w:val="00A41315"/>
    <w:rsid w:val="00A4282F"/>
    <w:rsid w:val="00A42A58"/>
    <w:rsid w:val="00A4516A"/>
    <w:rsid w:val="00A458BC"/>
    <w:rsid w:val="00A46209"/>
    <w:rsid w:val="00A46C1D"/>
    <w:rsid w:val="00A52387"/>
    <w:rsid w:val="00A6167D"/>
    <w:rsid w:val="00A6222F"/>
    <w:rsid w:val="00A66FF0"/>
    <w:rsid w:val="00A725D3"/>
    <w:rsid w:val="00A732A4"/>
    <w:rsid w:val="00A74031"/>
    <w:rsid w:val="00A748CC"/>
    <w:rsid w:val="00A8097F"/>
    <w:rsid w:val="00A910A0"/>
    <w:rsid w:val="00A9473C"/>
    <w:rsid w:val="00A96342"/>
    <w:rsid w:val="00A975B6"/>
    <w:rsid w:val="00AA0D17"/>
    <w:rsid w:val="00AA0D93"/>
    <w:rsid w:val="00AA31FB"/>
    <w:rsid w:val="00AA38EA"/>
    <w:rsid w:val="00AA594D"/>
    <w:rsid w:val="00AA6969"/>
    <w:rsid w:val="00AB31E7"/>
    <w:rsid w:val="00AB37DE"/>
    <w:rsid w:val="00AB497E"/>
    <w:rsid w:val="00AB61D4"/>
    <w:rsid w:val="00AB6C5E"/>
    <w:rsid w:val="00AC37BA"/>
    <w:rsid w:val="00AD082A"/>
    <w:rsid w:val="00AD23D8"/>
    <w:rsid w:val="00AD5ACB"/>
    <w:rsid w:val="00AD7040"/>
    <w:rsid w:val="00AE2E31"/>
    <w:rsid w:val="00AE4216"/>
    <w:rsid w:val="00AE5359"/>
    <w:rsid w:val="00AE67DA"/>
    <w:rsid w:val="00AF1DAB"/>
    <w:rsid w:val="00AF36BC"/>
    <w:rsid w:val="00AF7C56"/>
    <w:rsid w:val="00B12F08"/>
    <w:rsid w:val="00B13693"/>
    <w:rsid w:val="00B14AC8"/>
    <w:rsid w:val="00B17D4F"/>
    <w:rsid w:val="00B205C7"/>
    <w:rsid w:val="00B21BD8"/>
    <w:rsid w:val="00B269F5"/>
    <w:rsid w:val="00B3000E"/>
    <w:rsid w:val="00B3077B"/>
    <w:rsid w:val="00B35073"/>
    <w:rsid w:val="00B461F9"/>
    <w:rsid w:val="00B52954"/>
    <w:rsid w:val="00B53D4A"/>
    <w:rsid w:val="00B54D65"/>
    <w:rsid w:val="00B60813"/>
    <w:rsid w:val="00B62E82"/>
    <w:rsid w:val="00B7082E"/>
    <w:rsid w:val="00B709E6"/>
    <w:rsid w:val="00B70C9B"/>
    <w:rsid w:val="00B72114"/>
    <w:rsid w:val="00B75A75"/>
    <w:rsid w:val="00B765B2"/>
    <w:rsid w:val="00B77515"/>
    <w:rsid w:val="00B7768C"/>
    <w:rsid w:val="00B8371D"/>
    <w:rsid w:val="00B8423C"/>
    <w:rsid w:val="00B871C4"/>
    <w:rsid w:val="00B94D21"/>
    <w:rsid w:val="00B95386"/>
    <w:rsid w:val="00B96B50"/>
    <w:rsid w:val="00BA0BB0"/>
    <w:rsid w:val="00BA7CD1"/>
    <w:rsid w:val="00BB00E8"/>
    <w:rsid w:val="00BB368A"/>
    <w:rsid w:val="00BB60EE"/>
    <w:rsid w:val="00BB7E68"/>
    <w:rsid w:val="00BC3915"/>
    <w:rsid w:val="00BC62F3"/>
    <w:rsid w:val="00BD6CD9"/>
    <w:rsid w:val="00BD6DC5"/>
    <w:rsid w:val="00BD7A4D"/>
    <w:rsid w:val="00BE0972"/>
    <w:rsid w:val="00BE3587"/>
    <w:rsid w:val="00BE423D"/>
    <w:rsid w:val="00BF490B"/>
    <w:rsid w:val="00C02D5F"/>
    <w:rsid w:val="00C10737"/>
    <w:rsid w:val="00C10B1C"/>
    <w:rsid w:val="00C1307B"/>
    <w:rsid w:val="00C2156D"/>
    <w:rsid w:val="00C2627B"/>
    <w:rsid w:val="00C32C32"/>
    <w:rsid w:val="00C32DA7"/>
    <w:rsid w:val="00C35BF2"/>
    <w:rsid w:val="00C40118"/>
    <w:rsid w:val="00C41084"/>
    <w:rsid w:val="00C43D2F"/>
    <w:rsid w:val="00C44CED"/>
    <w:rsid w:val="00C478FC"/>
    <w:rsid w:val="00C51677"/>
    <w:rsid w:val="00C57F0D"/>
    <w:rsid w:val="00C6238E"/>
    <w:rsid w:val="00C64DC9"/>
    <w:rsid w:val="00C6629A"/>
    <w:rsid w:val="00C67727"/>
    <w:rsid w:val="00C67C3B"/>
    <w:rsid w:val="00C80278"/>
    <w:rsid w:val="00C83C2D"/>
    <w:rsid w:val="00C85202"/>
    <w:rsid w:val="00C85E19"/>
    <w:rsid w:val="00C91AAC"/>
    <w:rsid w:val="00C95951"/>
    <w:rsid w:val="00C95E10"/>
    <w:rsid w:val="00CA001F"/>
    <w:rsid w:val="00CA0112"/>
    <w:rsid w:val="00CA31FF"/>
    <w:rsid w:val="00CA5A21"/>
    <w:rsid w:val="00CB3251"/>
    <w:rsid w:val="00CB4770"/>
    <w:rsid w:val="00CC000C"/>
    <w:rsid w:val="00CC723A"/>
    <w:rsid w:val="00CD292B"/>
    <w:rsid w:val="00CD2DDB"/>
    <w:rsid w:val="00CD2EA5"/>
    <w:rsid w:val="00CD411A"/>
    <w:rsid w:val="00CD4E9C"/>
    <w:rsid w:val="00CE771F"/>
    <w:rsid w:val="00CF0F9B"/>
    <w:rsid w:val="00CF390C"/>
    <w:rsid w:val="00CF3B97"/>
    <w:rsid w:val="00D069DA"/>
    <w:rsid w:val="00D0748F"/>
    <w:rsid w:val="00D12387"/>
    <w:rsid w:val="00D12444"/>
    <w:rsid w:val="00D171D1"/>
    <w:rsid w:val="00D2009B"/>
    <w:rsid w:val="00D2111E"/>
    <w:rsid w:val="00D21769"/>
    <w:rsid w:val="00D25D15"/>
    <w:rsid w:val="00D32349"/>
    <w:rsid w:val="00D434C2"/>
    <w:rsid w:val="00D4408D"/>
    <w:rsid w:val="00D461CF"/>
    <w:rsid w:val="00D51BC3"/>
    <w:rsid w:val="00D5368B"/>
    <w:rsid w:val="00D5775D"/>
    <w:rsid w:val="00D57FC2"/>
    <w:rsid w:val="00D622B8"/>
    <w:rsid w:val="00D6471F"/>
    <w:rsid w:val="00D66AB9"/>
    <w:rsid w:val="00D74E48"/>
    <w:rsid w:val="00D76DC6"/>
    <w:rsid w:val="00D857E7"/>
    <w:rsid w:val="00D87349"/>
    <w:rsid w:val="00D945B2"/>
    <w:rsid w:val="00D970BC"/>
    <w:rsid w:val="00DA2FEF"/>
    <w:rsid w:val="00DA3329"/>
    <w:rsid w:val="00DA4E5C"/>
    <w:rsid w:val="00DA629F"/>
    <w:rsid w:val="00DB1B42"/>
    <w:rsid w:val="00DB55AD"/>
    <w:rsid w:val="00DC0DBA"/>
    <w:rsid w:val="00DC0ED8"/>
    <w:rsid w:val="00DC2B60"/>
    <w:rsid w:val="00DC59A3"/>
    <w:rsid w:val="00DC659C"/>
    <w:rsid w:val="00DD0948"/>
    <w:rsid w:val="00DD300E"/>
    <w:rsid w:val="00DD36CA"/>
    <w:rsid w:val="00DD5223"/>
    <w:rsid w:val="00DD53D8"/>
    <w:rsid w:val="00DD5FDF"/>
    <w:rsid w:val="00DE1E14"/>
    <w:rsid w:val="00DE33B6"/>
    <w:rsid w:val="00DE5482"/>
    <w:rsid w:val="00DE6EF8"/>
    <w:rsid w:val="00DF113A"/>
    <w:rsid w:val="00DF4B25"/>
    <w:rsid w:val="00DF551E"/>
    <w:rsid w:val="00DF59D9"/>
    <w:rsid w:val="00DF6696"/>
    <w:rsid w:val="00DF780C"/>
    <w:rsid w:val="00DF7DD0"/>
    <w:rsid w:val="00E000CD"/>
    <w:rsid w:val="00E01F75"/>
    <w:rsid w:val="00E10E08"/>
    <w:rsid w:val="00E16DDD"/>
    <w:rsid w:val="00E203F1"/>
    <w:rsid w:val="00E224F8"/>
    <w:rsid w:val="00E2372D"/>
    <w:rsid w:val="00E24659"/>
    <w:rsid w:val="00E310F1"/>
    <w:rsid w:val="00E31DB0"/>
    <w:rsid w:val="00E34E9D"/>
    <w:rsid w:val="00E372B4"/>
    <w:rsid w:val="00E40CF4"/>
    <w:rsid w:val="00E44581"/>
    <w:rsid w:val="00E4461F"/>
    <w:rsid w:val="00E44D75"/>
    <w:rsid w:val="00E50F05"/>
    <w:rsid w:val="00E5255B"/>
    <w:rsid w:val="00E52B83"/>
    <w:rsid w:val="00E55721"/>
    <w:rsid w:val="00E63225"/>
    <w:rsid w:val="00E70E32"/>
    <w:rsid w:val="00E73712"/>
    <w:rsid w:val="00E765A2"/>
    <w:rsid w:val="00E76DD1"/>
    <w:rsid w:val="00E77A0E"/>
    <w:rsid w:val="00E829A7"/>
    <w:rsid w:val="00E8523E"/>
    <w:rsid w:val="00E863D8"/>
    <w:rsid w:val="00E90D12"/>
    <w:rsid w:val="00E93005"/>
    <w:rsid w:val="00E94A90"/>
    <w:rsid w:val="00E967B6"/>
    <w:rsid w:val="00EA0EED"/>
    <w:rsid w:val="00EA2E01"/>
    <w:rsid w:val="00EA320F"/>
    <w:rsid w:val="00EA5D84"/>
    <w:rsid w:val="00EB0CDA"/>
    <w:rsid w:val="00EB3D21"/>
    <w:rsid w:val="00EB40AD"/>
    <w:rsid w:val="00EC17EF"/>
    <w:rsid w:val="00EC1AD1"/>
    <w:rsid w:val="00EC780F"/>
    <w:rsid w:val="00ED12BA"/>
    <w:rsid w:val="00ED234D"/>
    <w:rsid w:val="00ED4477"/>
    <w:rsid w:val="00ED4A6B"/>
    <w:rsid w:val="00ED6516"/>
    <w:rsid w:val="00ED6B06"/>
    <w:rsid w:val="00ED7057"/>
    <w:rsid w:val="00ED7EC5"/>
    <w:rsid w:val="00EE0E5D"/>
    <w:rsid w:val="00EE1C09"/>
    <w:rsid w:val="00EE2F93"/>
    <w:rsid w:val="00EE690F"/>
    <w:rsid w:val="00EE69DE"/>
    <w:rsid w:val="00EE7492"/>
    <w:rsid w:val="00EF4DA3"/>
    <w:rsid w:val="00EF71D2"/>
    <w:rsid w:val="00EF751C"/>
    <w:rsid w:val="00F02B88"/>
    <w:rsid w:val="00F054EC"/>
    <w:rsid w:val="00F05A72"/>
    <w:rsid w:val="00F12253"/>
    <w:rsid w:val="00F12AC5"/>
    <w:rsid w:val="00F14AA6"/>
    <w:rsid w:val="00F14EFF"/>
    <w:rsid w:val="00F15F3F"/>
    <w:rsid w:val="00F21191"/>
    <w:rsid w:val="00F319E3"/>
    <w:rsid w:val="00F31EEE"/>
    <w:rsid w:val="00F357F6"/>
    <w:rsid w:val="00F37B54"/>
    <w:rsid w:val="00F42CB2"/>
    <w:rsid w:val="00F43BE3"/>
    <w:rsid w:val="00F44225"/>
    <w:rsid w:val="00F46548"/>
    <w:rsid w:val="00F46AED"/>
    <w:rsid w:val="00F519B7"/>
    <w:rsid w:val="00F51F68"/>
    <w:rsid w:val="00F5327C"/>
    <w:rsid w:val="00F533FE"/>
    <w:rsid w:val="00F65293"/>
    <w:rsid w:val="00F669F9"/>
    <w:rsid w:val="00F77F00"/>
    <w:rsid w:val="00F836C7"/>
    <w:rsid w:val="00F84A4F"/>
    <w:rsid w:val="00F853A5"/>
    <w:rsid w:val="00F90CAD"/>
    <w:rsid w:val="00F953A5"/>
    <w:rsid w:val="00F9704F"/>
    <w:rsid w:val="00FA3329"/>
    <w:rsid w:val="00FB01CB"/>
    <w:rsid w:val="00FB1E83"/>
    <w:rsid w:val="00FB2824"/>
    <w:rsid w:val="00FB3B10"/>
    <w:rsid w:val="00FB64C0"/>
    <w:rsid w:val="00FC727A"/>
    <w:rsid w:val="00FD02A4"/>
    <w:rsid w:val="00FD7872"/>
    <w:rsid w:val="00FE0A62"/>
    <w:rsid w:val="00FE29DD"/>
    <w:rsid w:val="00FE5A64"/>
    <w:rsid w:val="00FE65E5"/>
    <w:rsid w:val="00FE6D60"/>
    <w:rsid w:val="00FF55F4"/>
    <w:rsid w:val="00FF7624"/>
    <w:rsid w:val="02641FD6"/>
    <w:rsid w:val="05E3A34E"/>
    <w:rsid w:val="092229E4"/>
    <w:rsid w:val="1BE02270"/>
    <w:rsid w:val="1C718207"/>
    <w:rsid w:val="1C798D53"/>
    <w:rsid w:val="1EF2BAD1"/>
    <w:rsid w:val="256E6939"/>
    <w:rsid w:val="26D48342"/>
    <w:rsid w:val="276F86BB"/>
    <w:rsid w:val="2B763E20"/>
    <w:rsid w:val="3E999F78"/>
    <w:rsid w:val="40047446"/>
    <w:rsid w:val="44C931B2"/>
    <w:rsid w:val="4A7ACA3B"/>
    <w:rsid w:val="5516D03A"/>
    <w:rsid w:val="58671711"/>
    <w:rsid w:val="5B8E1474"/>
    <w:rsid w:val="65FEA4F5"/>
    <w:rsid w:val="6ED96E86"/>
    <w:rsid w:val="74602193"/>
    <w:rsid w:val="74B95CC1"/>
    <w:rsid w:val="78F830F4"/>
    <w:rsid w:val="7C3B9015"/>
    <w:rsid w:val="7D418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B05FF"/>
  <w15:chartTrackingRefBased/>
  <w15:docId w15:val="{DE1A57AA-0240-4416-82CC-8B249200B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4B5"/>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Normal"/>
    <w:link w:val="Heading1Char"/>
    <w:uiPriority w:val="9"/>
    <w:qFormat/>
    <w:rsid w:val="00F319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458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0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709B0"/>
    <w:rPr>
      <w:sz w:val="16"/>
      <w:szCs w:val="16"/>
    </w:rPr>
  </w:style>
  <w:style w:type="paragraph" w:styleId="CommentText">
    <w:name w:val="annotation text"/>
    <w:basedOn w:val="Normal"/>
    <w:link w:val="CommentTextChar"/>
    <w:uiPriority w:val="99"/>
    <w:unhideWhenUsed/>
    <w:rsid w:val="008709B0"/>
    <w:rPr>
      <w:sz w:val="20"/>
      <w:szCs w:val="20"/>
    </w:rPr>
  </w:style>
  <w:style w:type="character" w:customStyle="1" w:styleId="CommentTextChar">
    <w:name w:val="Comment Text Char"/>
    <w:basedOn w:val="DefaultParagraphFont"/>
    <w:link w:val="CommentText"/>
    <w:uiPriority w:val="99"/>
    <w:rsid w:val="008709B0"/>
    <w:rPr>
      <w:rFonts w:ascii="Times New Roman" w:hAnsi="Times New Roman" w:cs="Times New Roman"/>
      <w:sz w:val="20"/>
      <w:szCs w:val="20"/>
      <w:lang w:val="en-GB"/>
    </w:rPr>
  </w:style>
  <w:style w:type="paragraph" w:styleId="FootnoteText">
    <w:name w:val="footnote text"/>
    <w:basedOn w:val="Normal"/>
    <w:link w:val="FootnoteTextChar"/>
    <w:uiPriority w:val="99"/>
    <w:semiHidden/>
    <w:unhideWhenUsed/>
    <w:rsid w:val="008709B0"/>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09B0"/>
    <w:rPr>
      <w:rFonts w:ascii="Times New Roman" w:hAnsi="Times New Roman" w:cs="Times New Roman"/>
      <w:sz w:val="20"/>
      <w:szCs w:val="20"/>
      <w:lang w:val="en-GB"/>
    </w:rPr>
  </w:style>
  <w:style w:type="paragraph" w:customStyle="1" w:styleId="HeaderLandscape">
    <w:name w:val="HeaderLandscape"/>
    <w:basedOn w:val="Normal"/>
    <w:rsid w:val="008709B0"/>
    <w:pPr>
      <w:tabs>
        <w:tab w:val="center" w:pos="7285"/>
        <w:tab w:val="right" w:pos="14003"/>
      </w:tabs>
      <w:spacing w:before="0"/>
    </w:pPr>
  </w:style>
  <w:style w:type="paragraph" w:customStyle="1" w:styleId="FooterLandscape">
    <w:name w:val="FooterLandscape"/>
    <w:basedOn w:val="Normal"/>
    <w:rsid w:val="008709B0"/>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8709B0"/>
    <w:rPr>
      <w:shd w:val="clear" w:color="auto" w:fill="auto"/>
      <w:vertAlign w:val="superscript"/>
    </w:rPr>
  </w:style>
  <w:style w:type="paragraph" w:styleId="BalloonText">
    <w:name w:val="Balloon Text"/>
    <w:basedOn w:val="Normal"/>
    <w:link w:val="BalloonTextChar"/>
    <w:uiPriority w:val="99"/>
    <w:semiHidden/>
    <w:unhideWhenUsed/>
    <w:rsid w:val="008709B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9B0"/>
    <w:rPr>
      <w:rFonts w:ascii="Segoe UI" w:hAnsi="Segoe UI" w:cs="Segoe UI"/>
      <w:sz w:val="18"/>
      <w:szCs w:val="18"/>
      <w:lang w:val="en-GB"/>
    </w:rPr>
  </w:style>
  <w:style w:type="paragraph" w:styleId="ListParagraph">
    <w:name w:val="List Paragraph"/>
    <w:basedOn w:val="Normal"/>
    <w:uiPriority w:val="34"/>
    <w:qFormat/>
    <w:rsid w:val="004A18A1"/>
    <w:pPr>
      <w:ind w:left="720"/>
      <w:contextualSpacing/>
    </w:pPr>
  </w:style>
  <w:style w:type="paragraph" w:styleId="CommentSubject">
    <w:name w:val="annotation subject"/>
    <w:basedOn w:val="CommentText"/>
    <w:next w:val="CommentText"/>
    <w:link w:val="CommentSubjectChar"/>
    <w:uiPriority w:val="99"/>
    <w:semiHidden/>
    <w:unhideWhenUsed/>
    <w:rsid w:val="00C35BF2"/>
    <w:rPr>
      <w:b/>
      <w:bCs/>
    </w:rPr>
  </w:style>
  <w:style w:type="character" w:customStyle="1" w:styleId="CommentSubjectChar">
    <w:name w:val="Comment Subject Char"/>
    <w:basedOn w:val="CommentTextChar"/>
    <w:link w:val="CommentSubject"/>
    <w:uiPriority w:val="99"/>
    <w:semiHidden/>
    <w:rsid w:val="00C35BF2"/>
    <w:rPr>
      <w:rFonts w:ascii="Times New Roman" w:hAnsi="Times New Roman" w:cs="Times New Roman"/>
      <w:b/>
      <w:bCs/>
      <w:sz w:val="20"/>
      <w:szCs w:val="20"/>
      <w:lang w:val="en-GB"/>
    </w:rPr>
  </w:style>
  <w:style w:type="character" w:styleId="Hyperlink">
    <w:name w:val="Hyperlink"/>
    <w:basedOn w:val="DefaultParagraphFont"/>
    <w:uiPriority w:val="99"/>
    <w:unhideWhenUsed/>
    <w:rsid w:val="000463B4"/>
    <w:rPr>
      <w:color w:val="0563C1" w:themeColor="hyperlink"/>
      <w:u w:val="single"/>
    </w:rPr>
  </w:style>
  <w:style w:type="paragraph" w:customStyle="1" w:styleId="Default">
    <w:name w:val="Default"/>
    <w:rsid w:val="00CE771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F319E3"/>
    <w:rPr>
      <w:rFonts w:asciiTheme="majorHAnsi" w:eastAsiaTheme="majorEastAsia" w:hAnsiTheme="majorHAnsi" w:cstheme="majorBidi"/>
      <w:color w:val="2E74B5" w:themeColor="accent1" w:themeShade="BF"/>
      <w:sz w:val="32"/>
      <w:szCs w:val="32"/>
      <w:lang w:val="en-GB"/>
    </w:rPr>
  </w:style>
  <w:style w:type="character" w:styleId="FollowedHyperlink">
    <w:name w:val="FollowedHyperlink"/>
    <w:basedOn w:val="DefaultParagraphFont"/>
    <w:uiPriority w:val="99"/>
    <w:semiHidden/>
    <w:unhideWhenUsed/>
    <w:rsid w:val="004959CF"/>
    <w:rPr>
      <w:color w:val="954F72" w:themeColor="followedHyperlink"/>
      <w:u w:val="single"/>
    </w:rPr>
  </w:style>
  <w:style w:type="paragraph" w:styleId="Revision">
    <w:name w:val="Revision"/>
    <w:hidden/>
    <w:uiPriority w:val="99"/>
    <w:semiHidden/>
    <w:rsid w:val="00997AFD"/>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rsid w:val="003A585F"/>
    <w:pPr>
      <w:tabs>
        <w:tab w:val="center" w:pos="4680"/>
        <w:tab w:val="right" w:pos="9360"/>
      </w:tabs>
      <w:spacing w:before="0" w:after="0"/>
    </w:pPr>
  </w:style>
  <w:style w:type="character" w:customStyle="1" w:styleId="HeaderChar">
    <w:name w:val="Header Char"/>
    <w:basedOn w:val="DefaultParagraphFont"/>
    <w:link w:val="Header"/>
    <w:uiPriority w:val="99"/>
    <w:rsid w:val="003A585F"/>
    <w:rPr>
      <w:rFonts w:ascii="Times New Roman" w:hAnsi="Times New Roman" w:cs="Times New Roman"/>
      <w:sz w:val="24"/>
      <w:lang w:val="en-GB"/>
    </w:rPr>
  </w:style>
  <w:style w:type="paragraph" w:styleId="Footer">
    <w:name w:val="footer"/>
    <w:basedOn w:val="Normal"/>
    <w:link w:val="FooterChar"/>
    <w:uiPriority w:val="99"/>
    <w:unhideWhenUsed/>
    <w:rsid w:val="003A585F"/>
    <w:pPr>
      <w:tabs>
        <w:tab w:val="center" w:pos="4680"/>
        <w:tab w:val="right" w:pos="9360"/>
      </w:tabs>
      <w:spacing w:before="0" w:after="0"/>
    </w:pPr>
  </w:style>
  <w:style w:type="character" w:customStyle="1" w:styleId="FooterChar">
    <w:name w:val="Footer Char"/>
    <w:basedOn w:val="DefaultParagraphFont"/>
    <w:link w:val="Footer"/>
    <w:uiPriority w:val="99"/>
    <w:rsid w:val="003A585F"/>
    <w:rPr>
      <w:rFonts w:ascii="Times New Roman" w:hAnsi="Times New Roman" w:cs="Times New Roman"/>
      <w:sz w:val="24"/>
      <w:lang w:val="en-GB"/>
    </w:rPr>
  </w:style>
  <w:style w:type="character" w:customStyle="1" w:styleId="Heading2Char">
    <w:name w:val="Heading 2 Char"/>
    <w:basedOn w:val="DefaultParagraphFont"/>
    <w:link w:val="Heading2"/>
    <w:uiPriority w:val="9"/>
    <w:rsid w:val="00A458BC"/>
    <w:rPr>
      <w:rFonts w:asciiTheme="majorHAnsi" w:eastAsiaTheme="majorEastAsia" w:hAnsiTheme="majorHAnsi" w:cstheme="majorBidi"/>
      <w:color w:val="2E74B5" w:themeColor="accent1" w:themeShade="BF"/>
      <w:sz w:val="26"/>
      <w:szCs w:val="26"/>
      <w:lang w:val="en-GB"/>
    </w:rPr>
  </w:style>
  <w:style w:type="paragraph" w:styleId="NormalWeb">
    <w:name w:val="Normal (Web)"/>
    <w:basedOn w:val="Normal"/>
    <w:uiPriority w:val="99"/>
    <w:semiHidden/>
    <w:unhideWhenUsed/>
    <w:rsid w:val="00CC723A"/>
    <w:rPr>
      <w:szCs w:val="24"/>
    </w:rPr>
  </w:style>
  <w:style w:type="paragraph" w:styleId="TOCHeading">
    <w:name w:val="TOC Heading"/>
    <w:basedOn w:val="Heading1"/>
    <w:next w:val="Normal"/>
    <w:uiPriority w:val="39"/>
    <w:unhideWhenUsed/>
    <w:qFormat/>
    <w:rsid w:val="001F5716"/>
    <w:pPr>
      <w:spacing w:line="259" w:lineRule="auto"/>
      <w:jc w:val="left"/>
      <w:outlineLvl w:val="9"/>
    </w:pPr>
    <w:rPr>
      <w:lang w:val="en-US"/>
    </w:rPr>
  </w:style>
  <w:style w:type="paragraph" w:styleId="TOC1">
    <w:name w:val="toc 1"/>
    <w:basedOn w:val="Normal"/>
    <w:next w:val="Normal"/>
    <w:autoRedefine/>
    <w:uiPriority w:val="39"/>
    <w:unhideWhenUsed/>
    <w:rsid w:val="001F5716"/>
    <w:pPr>
      <w:spacing w:after="100"/>
    </w:pPr>
  </w:style>
  <w:style w:type="paragraph" w:styleId="TOC2">
    <w:name w:val="toc 2"/>
    <w:basedOn w:val="Normal"/>
    <w:next w:val="Normal"/>
    <w:autoRedefine/>
    <w:uiPriority w:val="39"/>
    <w:unhideWhenUsed/>
    <w:rsid w:val="001F5716"/>
    <w:pPr>
      <w:spacing w:after="100"/>
      <w:ind w:left="240"/>
    </w:pPr>
  </w:style>
  <w:style w:type="paragraph" w:customStyle="1" w:styleId="ZFlag">
    <w:name w:val="Z_Flag"/>
    <w:basedOn w:val="Normal"/>
    <w:next w:val="Normal"/>
    <w:uiPriority w:val="2"/>
    <w:rsid w:val="006552FF"/>
    <w:pPr>
      <w:widowControl w:val="0"/>
      <w:spacing w:before="0" w:after="0"/>
      <w:ind w:right="85"/>
    </w:pPr>
    <w:rPr>
      <w:rFonts w:eastAsia="Times New Roman"/>
      <w:szCs w:val="20"/>
    </w:rPr>
  </w:style>
  <w:style w:type="paragraph" w:customStyle="1" w:styleId="ZCom">
    <w:name w:val="Z_Com"/>
    <w:basedOn w:val="Normal"/>
    <w:next w:val="Normal"/>
    <w:uiPriority w:val="2"/>
    <w:rsid w:val="006552FF"/>
    <w:pPr>
      <w:widowControl w:val="0"/>
      <w:spacing w:before="90" w:after="0"/>
      <w:ind w:right="85"/>
      <w:jc w:val="left"/>
    </w:pPr>
    <w:rPr>
      <w:rFonts w:eastAsia="Times New Roman"/>
      <w:szCs w:val="20"/>
    </w:rPr>
  </w:style>
  <w:style w:type="paragraph" w:customStyle="1" w:styleId="ZDGName">
    <w:name w:val="Z_DGName"/>
    <w:basedOn w:val="Normal"/>
    <w:uiPriority w:val="2"/>
    <w:rsid w:val="006552FF"/>
    <w:pPr>
      <w:widowControl w:val="0"/>
      <w:spacing w:before="0" w:after="0"/>
      <w:ind w:right="85"/>
      <w:jc w:val="left"/>
    </w:pPr>
    <w:rPr>
      <w:rFonts w:eastAsia="Times New Roman"/>
      <w:sz w:val="16"/>
      <w:szCs w:val="20"/>
    </w:rPr>
  </w:style>
  <w:style w:type="table" w:customStyle="1" w:styleId="TableLetterhead">
    <w:name w:val="Table Letterhead"/>
    <w:basedOn w:val="TableNormal"/>
    <w:semiHidden/>
    <w:rsid w:val="006552FF"/>
    <w:pPr>
      <w:spacing w:after="0" w:line="240" w:lineRule="auto"/>
    </w:pPr>
    <w:rPr>
      <w:rFonts w:ascii="Times New Roman" w:eastAsia="Times New Roman" w:hAnsi="Times New Roman" w:cs="Times New Roman"/>
      <w:sz w:val="24"/>
      <w:szCs w:val="20"/>
      <w:lang w:val="en-GB"/>
    </w:rPr>
    <w:tblPr>
      <w:tblCellMar>
        <w:left w:w="0" w:type="dxa"/>
        <w:bottom w:w="340" w:type="dxa"/>
        <w:right w:w="0" w:type="dxa"/>
      </w:tblCellMar>
    </w:tblPr>
  </w:style>
  <w:style w:type="paragraph" w:customStyle="1" w:styleId="SubTitle1">
    <w:name w:val="SubTitle 1"/>
    <w:basedOn w:val="Normal"/>
    <w:next w:val="Normal"/>
    <w:uiPriority w:val="1"/>
    <w:qFormat/>
    <w:rsid w:val="006552FF"/>
    <w:pPr>
      <w:spacing w:before="0" w:after="240"/>
      <w:jc w:val="center"/>
    </w:pPr>
    <w:rPr>
      <w:rFonts w:eastAsia="Times New Roman"/>
      <w:b/>
      <w:sz w:val="40"/>
      <w:szCs w:val="20"/>
    </w:rPr>
  </w:style>
  <w:style w:type="paragraph" w:styleId="Title">
    <w:name w:val="Title"/>
    <w:basedOn w:val="Normal"/>
    <w:next w:val="SubTitle1"/>
    <w:link w:val="TitleChar"/>
    <w:uiPriority w:val="1"/>
    <w:qFormat/>
    <w:rsid w:val="006552FF"/>
    <w:pPr>
      <w:spacing w:before="0" w:after="480"/>
      <w:jc w:val="center"/>
    </w:pPr>
    <w:rPr>
      <w:rFonts w:eastAsia="Times New Roman"/>
      <w:b/>
      <w:kern w:val="28"/>
      <w:sz w:val="48"/>
      <w:szCs w:val="20"/>
    </w:rPr>
  </w:style>
  <w:style w:type="character" w:customStyle="1" w:styleId="TitleChar">
    <w:name w:val="Title Char"/>
    <w:basedOn w:val="DefaultParagraphFont"/>
    <w:link w:val="Title"/>
    <w:uiPriority w:val="1"/>
    <w:rsid w:val="006552FF"/>
    <w:rPr>
      <w:rFonts w:ascii="Times New Roman" w:eastAsia="Times New Roman" w:hAnsi="Times New Roman" w:cs="Times New Roman"/>
      <w:b/>
      <w:kern w:val="28"/>
      <w:sz w:val="48"/>
      <w:szCs w:val="20"/>
      <w:lang w:val="en-GB"/>
    </w:rPr>
  </w:style>
  <w:style w:type="character" w:styleId="PlaceholderText">
    <w:name w:val="Placeholder Text"/>
    <w:basedOn w:val="DefaultParagraphFont"/>
    <w:semiHidden/>
    <w:rsid w:val="006552FF"/>
    <w:rPr>
      <w:color w:val="28806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04100">
      <w:bodyDiv w:val="1"/>
      <w:marLeft w:val="0"/>
      <w:marRight w:val="0"/>
      <w:marTop w:val="0"/>
      <w:marBottom w:val="0"/>
      <w:divBdr>
        <w:top w:val="none" w:sz="0" w:space="0" w:color="auto"/>
        <w:left w:val="none" w:sz="0" w:space="0" w:color="auto"/>
        <w:bottom w:val="none" w:sz="0" w:space="0" w:color="auto"/>
        <w:right w:val="none" w:sz="0" w:space="0" w:color="auto"/>
      </w:divBdr>
    </w:div>
    <w:div w:id="715661831">
      <w:bodyDiv w:val="1"/>
      <w:marLeft w:val="0"/>
      <w:marRight w:val="0"/>
      <w:marTop w:val="0"/>
      <w:marBottom w:val="0"/>
      <w:divBdr>
        <w:top w:val="none" w:sz="0" w:space="0" w:color="auto"/>
        <w:left w:val="none" w:sz="0" w:space="0" w:color="auto"/>
        <w:bottom w:val="none" w:sz="0" w:space="0" w:color="auto"/>
        <w:right w:val="none" w:sz="0" w:space="0" w:color="auto"/>
      </w:divBdr>
    </w:div>
    <w:div w:id="1090391473">
      <w:bodyDiv w:val="1"/>
      <w:marLeft w:val="0"/>
      <w:marRight w:val="0"/>
      <w:marTop w:val="0"/>
      <w:marBottom w:val="0"/>
      <w:divBdr>
        <w:top w:val="none" w:sz="0" w:space="0" w:color="auto"/>
        <w:left w:val="none" w:sz="0" w:space="0" w:color="auto"/>
        <w:bottom w:val="none" w:sz="0" w:space="0" w:color="auto"/>
        <w:right w:val="none" w:sz="0" w:space="0" w:color="auto"/>
      </w:divBdr>
    </w:div>
    <w:div w:id="180646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c.europa.eu/eurostat/statistics-explained/index.php?title=Glossary:Dwellin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CFIN-RRF@ec.europa.e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eurostat/statistics-explained/index.php?title=Adult_Education_Survey_(AES)_methodology" TargetMode="External"/><Relationship Id="rId1" Type="http://schemas.openxmlformats.org/officeDocument/2006/relationships/hyperlink" Target="https://eur-lex.europa.eu/legal-content/EN/TXT/?uri=COM:2021:82:FI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7D4C0672DBD41B995BCC91A5CCA04C2"/>
        <w:category>
          <w:name w:val="General"/>
          <w:gallery w:val="placeholder"/>
        </w:category>
        <w:types>
          <w:type w:val="bbPlcHdr"/>
        </w:types>
        <w:behaviors>
          <w:behavior w:val="content"/>
        </w:behaviors>
        <w:guid w:val="{4B2AC00E-F103-4291-A01C-8CA840518BA8}"/>
      </w:docPartPr>
      <w:docPartBody>
        <w:p w:rsidR="000E6147" w:rsidRDefault="0048270E" w:rsidP="0048270E">
          <w:pPr>
            <w:pStyle w:val="27D4C0672DBD41B995BCC91A5CCA04C2"/>
          </w:pPr>
          <w:r>
            <w:rPr>
              <w:rStyle w:val="PlaceholderText"/>
            </w:rPr>
            <w:t>Type the document title here.</w:t>
          </w:r>
        </w:p>
      </w:docPartBody>
    </w:docPart>
    <w:docPart>
      <w:docPartPr>
        <w:name w:val="D0DFE12820454CBE9B414EB733CD6B29"/>
        <w:category>
          <w:name w:val="General"/>
          <w:gallery w:val="placeholder"/>
        </w:category>
        <w:types>
          <w:type w:val="bbPlcHdr"/>
        </w:types>
        <w:behaviors>
          <w:behavior w:val="content"/>
        </w:behaviors>
        <w:guid w:val="{3E085122-D22A-4762-AB8D-BFFB1C5EF4C8}"/>
      </w:docPartPr>
      <w:docPartBody>
        <w:p w:rsidR="000E6147" w:rsidRDefault="0048270E" w:rsidP="0048270E">
          <w:pPr>
            <w:pStyle w:val="D0DFE12820454CBE9B414EB733CD6B29"/>
          </w:pPr>
          <w:r>
            <w:rPr>
              <w:rStyle w:val="PlaceholderText"/>
            </w:rPr>
            <w:t>Type the first subtitle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70E"/>
    <w:rsid w:val="000E6147"/>
    <w:rsid w:val="0048270E"/>
    <w:rsid w:val="00CD1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8270E"/>
    <w:rPr>
      <w:color w:val="288061"/>
    </w:rPr>
  </w:style>
  <w:style w:type="paragraph" w:customStyle="1" w:styleId="27D4C0672DBD41B995BCC91A5CCA04C2">
    <w:name w:val="27D4C0672DBD41B995BCC91A5CCA04C2"/>
    <w:rsid w:val="0048270E"/>
  </w:style>
  <w:style w:type="paragraph" w:customStyle="1" w:styleId="D0DFE12820454CBE9B414EB733CD6B29">
    <w:name w:val="D0DFE12820454CBE9B414EB733CD6B29"/>
    <w:rsid w:val="004827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ient xmlns="4ab59458-1076-4002-998d-e635add6a7aa" xsi:nil="true"/>
    <EC_ARES_DATE_TRANSFERRED xmlns="4ab59458-1076-4002-998d-e635add6a7aa" xsi:nil="true"/>
    <EC_Collab_Reference xmlns="4ab59458-1076-4002-998d-e635add6a7aa" xsi:nil="true"/>
    <Event_x0020_date xmlns="4ab59458-1076-4002-998d-e635add6a7aa" xsi:nil="true"/>
    <EC_ARES_TRANSFERRED_BY xmlns="4ab59458-1076-4002-998d-e635add6a7aa" xsi:nil="true"/>
    <Event xmlns="4ab59458-1076-4002-998d-e635add6a7aa" xsi:nil="true"/>
    <EC_ARES_NUMBER xmlns="4ab59458-1076-4002-998d-e635add6a7aa">
      <Url xsi:nil="true"/>
      <Description xsi:nil="true"/>
    </EC_ARES_NUMBER>
    <EC_Collab_DocumentLanguage xmlns="4ab59458-1076-4002-998d-e635add6a7aa">EN</EC_Collab_DocumentLanguage>
    <EC_Collab_Status xmlns="4ab59458-1076-4002-998d-e635add6a7aa">Not Started</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E5D7129F0CC3244EA23535B992281BA9" ma:contentTypeVersion="7" ma:contentTypeDescription="Create a new document in this library." ma:contentTypeScope="" ma:versionID="603cdaa85131c41949272339014b43f3">
  <xsd:schema xmlns:xsd="http://www.w3.org/2001/XMLSchema" xmlns:xs="http://www.w3.org/2001/XMLSchema" xmlns:p="http://schemas.microsoft.com/office/2006/metadata/properties" xmlns:ns3="4ab59458-1076-4002-998d-e635add6a7aa" targetNamespace="http://schemas.microsoft.com/office/2006/metadata/properties" ma:root="true" ma:fieldsID="a2de6c0667e55f24e152aef061a490c3" ns3:_="">
    <xsd:import namespace="4ab59458-1076-4002-998d-e635add6a7aa"/>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element ref="ns3:Client" minOccurs="0"/>
                <xsd:element ref="ns3:Event" minOccurs="0"/>
                <xsd:element ref="ns3:Event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59458-1076-4002-998d-e635add6a7a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element name="Client" ma:index="18" nillable="true" ma:displayName="Client" ma:internalName="Client">
      <xsd:simpleType>
        <xsd:restriction base="dms:Text">
          <xsd:maxLength value="255"/>
        </xsd:restriction>
      </xsd:simpleType>
    </xsd:element>
    <xsd:element name="Event" ma:index="19" nillable="true" ma:displayName="Event" ma:internalName="Event">
      <xsd:simpleType>
        <xsd:restriction base="dms:Text">
          <xsd:maxLength value="255"/>
        </xsd:restriction>
      </xsd:simpleType>
    </xsd:element>
    <xsd:element name="Event_x0020_date" ma:index="20" nillable="true" ma:displayName="Event date" ma:format="DateOnly" ma:internalName="Event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94C15-3B61-41A9-8F8D-B263690110BF}">
  <ds:schemaRefs>
    <ds:schemaRef ds:uri="http://schemas.microsoft.com/office/2006/documentManagement/types"/>
    <ds:schemaRef ds:uri="http://purl.org/dc/elements/1.1/"/>
    <ds:schemaRef ds:uri="http://schemas.microsoft.com/office/2006/metadata/properties"/>
    <ds:schemaRef ds:uri="http://purl.org/dc/terms/"/>
    <ds:schemaRef ds:uri="4ab59458-1076-4002-998d-e635add6a7aa"/>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7885284-C994-41E7-97D1-853EF7B4E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b59458-1076-4002-998d-e635add6a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4A05DF-4E37-4594-8D73-60DCCC4C6EED}">
  <ds:schemaRefs>
    <ds:schemaRef ds:uri="http://schemas.microsoft.com/sharepoint/v3/contenttype/forms"/>
  </ds:schemaRefs>
</ds:datastoreItem>
</file>

<file path=customXml/itemProps4.xml><?xml version="1.0" encoding="utf-8"?>
<ds:datastoreItem xmlns:ds="http://schemas.openxmlformats.org/officeDocument/2006/customXml" ds:itemID="{0BA800C9-0CAF-498D-9238-F07CBDACB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6908</Words>
  <Characters>39930</Characters>
  <Application>Microsoft Office Word</Application>
  <DocSecurity>4</DocSecurity>
  <Lines>998</Lines>
  <Paragraphs>616</Paragraphs>
  <ScaleCrop>false</ScaleCrop>
  <HeadingPairs>
    <vt:vector size="2" baseType="variant">
      <vt:variant>
        <vt:lpstr>Title</vt:lpstr>
      </vt:variant>
      <vt:variant>
        <vt:i4>1</vt:i4>
      </vt:variant>
    </vt:vector>
  </HeadingPairs>
  <TitlesOfParts>
    <vt:vector size="1" baseType="lpstr">
      <vt:lpstr>Guidance on the common indicators of the Recovery and Resilience Facility</vt:lpstr>
    </vt:vector>
  </TitlesOfParts>
  <Company>European Commission</Company>
  <LinksUpToDate>false</LinksUpToDate>
  <CharactersWithSpaces>46222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the common indicators of the Recovery and Resilience Facility</dc:title>
  <dc:subject>Statistical guidance for Member States</dc:subject>
  <dc:creator>DREGE Laure (ECFIN)</dc:creator>
  <cp:keywords/>
  <dc:description/>
  <cp:lastModifiedBy>CONRAD Franck (SG-RECOVER)</cp:lastModifiedBy>
  <cp:revision>2</cp:revision>
  <dcterms:created xsi:type="dcterms:W3CDTF">2022-01-20T07:47:00Z</dcterms:created>
  <dcterms:modified xsi:type="dcterms:W3CDTF">2022-01-20T07:47:00Z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0x010100258AA79CEB83498886A3A0868112325000E5D7129F0CC3244EA23535B992281BA9</vt:lpwstr>
  </property>
</Properties>
</file>