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45" w:type="dxa"/>
        <w:tblLook w:val="04A0" w:firstRow="1" w:lastRow="0" w:firstColumn="1" w:lastColumn="0" w:noHBand="0" w:noVBand="1"/>
        <w:tblDescription w:val="This table contains the European Commission's logo in the left column and information about the signer's or writer's organisational entity in the right column."/>
      </w:tblPr>
      <w:tblGrid>
        <w:gridCol w:w="2365"/>
        <w:gridCol w:w="7080"/>
      </w:tblGrid>
      <w:sdt>
        <w:sdtPr>
          <w:rPr>
            <w:sz w:val="16"/>
          </w:rPr>
          <w:alias w:val="EC Header - Standard"/>
          <w:tag w:val="A4pCgmOjXaoPaysOY21Ij7-5QkCVxYFQ4ANGFaoRKN4I2"/>
          <w:id w:val="20524017"/>
        </w:sdtPr>
        <w:sdtEndPr/>
        <w:sdtContent>
          <w:tr w:rsidR="0097271C" w:rsidRPr="00973451" w14:paraId="7F2E12B5" w14:textId="77777777" w:rsidTr="00CA54D5">
            <w:tc>
              <w:tcPr>
                <w:tcW w:w="2365" w:type="dxa"/>
              </w:tcPr>
              <w:p w14:paraId="0810EBC7" w14:textId="77777777" w:rsidR="0097271C" w:rsidRPr="00973451" w:rsidRDefault="005F6993">
                <w:pPr>
                  <w:pStyle w:val="ZFlag"/>
                </w:pPr>
                <w:r w:rsidRPr="00973451">
                  <w:rPr>
                    <w:noProof/>
                    <w:lang w:val="en-IE" w:eastAsia="en-IE"/>
                  </w:rPr>
                  <w:drawing>
                    <wp:inline distT="0" distB="0" distL="0" distR="0" wp14:anchorId="054CB70C" wp14:editId="6B170BC4">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0C31D603" w14:textId="77777777" w:rsidR="0097271C" w:rsidRPr="00973451" w:rsidRDefault="006568E8">
                <w:pPr>
                  <w:pStyle w:val="ZCom"/>
                </w:pPr>
                <w:sdt>
                  <w:sdtPr>
                    <w:id w:val="156974215"/>
                    <w:dataBinding w:xpath="/Texts/OrgaRoot" w:storeItemID="{4EF90DE6-88B6-4264-9629-4D8DFDFE87D2}"/>
                    <w:text w:multiLine="1"/>
                  </w:sdtPr>
                  <w:sdtEndPr/>
                  <w:sdtContent>
                    <w:r w:rsidR="007D7E64">
                      <w:t>EUROPEAN COMMISSION</w:t>
                    </w:r>
                  </w:sdtContent>
                </w:sdt>
              </w:p>
              <w:p w14:paraId="6EEBFBB5" w14:textId="77777777" w:rsidR="0097271C" w:rsidRPr="00973451" w:rsidRDefault="006568E8">
                <w:pPr>
                  <w:pStyle w:val="ZDGName"/>
                  <w:rPr>
                    <w:caps/>
                  </w:rPr>
                </w:pPr>
                <w:sdt>
                  <w:sdtPr>
                    <w:rPr>
                      <w:caps/>
                    </w:rPr>
                    <w:id w:val="1789930680"/>
                    <w:dataBinding w:xpath="/Author/OrgaEntity1/HeadLine1" w:storeItemID="{ABA429A9-E29F-41D7-84A1-F0D6F8320BA2}"/>
                    <w:text w:multiLine="1"/>
                  </w:sdtPr>
                  <w:sdtEndPr/>
                  <w:sdtContent>
                    <w:r w:rsidR="007D7E64">
                      <w:rPr>
                        <w:caps/>
                      </w:rPr>
                      <w:t>SECRETARIAT-GENERAL</w:t>
                    </w:r>
                  </w:sdtContent>
                </w:sdt>
              </w:p>
              <w:p w14:paraId="6E243C66" w14:textId="77777777" w:rsidR="0097271C" w:rsidRPr="00973451" w:rsidRDefault="006568E8" w:rsidP="00CA54D5">
                <w:pPr>
                  <w:pStyle w:val="ZDGName"/>
                </w:pPr>
                <w:sdt>
                  <w:sdtPr>
                    <w:id w:val="-723070509"/>
                    <w:dataBinding w:xpath="/Author/OrgaEntity2/HeadLine1" w:storeItemID="{ABA429A9-E29F-41D7-84A1-F0D6F8320BA2}"/>
                    <w:text w:multiLine="1"/>
                  </w:sdtPr>
                  <w:sdtEndPr/>
                  <w:sdtContent>
                    <w:r w:rsidR="007D7E64">
                      <w:t>Recovery &amp; Resilience Task Force</w:t>
                    </w:r>
                    <w:r w:rsidR="007D7E64">
                      <w:br/>
                    </w:r>
                    <w:r w:rsidR="007D7E64">
                      <w:br/>
                      <w:t>DG ECFIN</w:t>
                    </w:r>
                  </w:sdtContent>
                </w:sdt>
              </w:p>
            </w:tc>
          </w:tr>
        </w:sdtContent>
      </w:sdt>
    </w:tbl>
    <w:p w14:paraId="25909B1F" w14:textId="0865E034" w:rsidR="00CA5FD8" w:rsidRPr="006568E8" w:rsidRDefault="006568E8" w:rsidP="006568E8">
      <w:pPr>
        <w:jc w:val="right"/>
        <w:rPr>
          <w:i/>
          <w:sz w:val="22"/>
        </w:rPr>
      </w:pPr>
      <w:r w:rsidRPr="006568E8">
        <w:rPr>
          <w:i/>
          <w:sz w:val="22"/>
        </w:rPr>
        <w:t>2022-01-28</w:t>
      </w:r>
    </w:p>
    <w:tbl>
      <w:tblPr>
        <w:tblW w:w="886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65"/>
      </w:tblGrid>
      <w:tr w:rsidR="00CA5FD8" w14:paraId="6E3BD8C1" w14:textId="77777777" w:rsidTr="00075EC9">
        <w:trPr>
          <w:trHeight w:val="896"/>
        </w:trPr>
        <w:tc>
          <w:tcPr>
            <w:tcW w:w="8865" w:type="dxa"/>
          </w:tcPr>
          <w:p w14:paraId="379BC75C" w14:textId="77777777" w:rsidR="00CA5FD8" w:rsidRPr="00CA5FD8" w:rsidRDefault="00CA5FD8" w:rsidP="00075EC9">
            <w:r w:rsidRPr="00C71C27">
              <w:rPr>
                <w:b/>
                <w:i/>
                <w:sz w:val="22"/>
              </w:rPr>
              <w:t>DISCLAIMER:</w:t>
            </w:r>
            <w:r w:rsidRPr="00C71C27">
              <w:rPr>
                <w:i/>
                <w:sz w:val="22"/>
              </w:rPr>
              <w:t xml:space="preserve"> This is a document prepared by the Commission services. </w:t>
            </w:r>
            <w:r w:rsidR="00075EC9">
              <w:rPr>
                <w:i/>
                <w:sz w:val="22"/>
              </w:rPr>
              <w:t>I</w:t>
            </w:r>
            <w:r w:rsidRPr="00C71C27">
              <w:rPr>
                <w:i/>
                <w:sz w:val="22"/>
              </w:rPr>
              <w:t xml:space="preserve">t provides technical guidance on how to </w:t>
            </w:r>
            <w:r w:rsidR="00200B5A">
              <w:rPr>
                <w:i/>
                <w:sz w:val="22"/>
              </w:rPr>
              <w:t xml:space="preserve">use Arachne </w:t>
            </w:r>
            <w:r w:rsidR="00075EC9">
              <w:rPr>
                <w:i/>
                <w:sz w:val="22"/>
              </w:rPr>
              <w:t>on</w:t>
            </w:r>
            <w:r w:rsidR="00200B5A">
              <w:rPr>
                <w:i/>
                <w:sz w:val="22"/>
              </w:rPr>
              <w:t xml:space="preserve"> the prevention of serious irregularities in the context of the </w:t>
            </w:r>
            <w:r w:rsidR="00075EC9">
              <w:rPr>
                <w:i/>
                <w:sz w:val="22"/>
              </w:rPr>
              <w:t>Recovery and Resilience Facility</w:t>
            </w:r>
            <w:r w:rsidR="00200B5A">
              <w:rPr>
                <w:i/>
                <w:sz w:val="22"/>
              </w:rPr>
              <w:t xml:space="preserve">. </w:t>
            </w:r>
            <w:r w:rsidR="00075EC9">
              <w:rPr>
                <w:i/>
                <w:sz w:val="22"/>
              </w:rPr>
              <w:t>This guidance has not been endorsed by the European Commission.</w:t>
            </w:r>
          </w:p>
        </w:tc>
      </w:tr>
    </w:tbl>
    <w:sdt>
      <w:sdtPr>
        <w:rPr>
          <w:b w:val="0"/>
        </w:rPr>
        <w:alias w:val="Note for - One Addressee"/>
        <w:tag w:val="u7uN5kfMW4zFYuXg0ziI1D-x0cMTDYhvKwe95P1FbNnN0"/>
        <w:id w:val="999855532"/>
      </w:sdtPr>
      <w:sdtEndPr/>
      <w:sdtContent>
        <w:p w14:paraId="08F75722" w14:textId="77777777" w:rsidR="00B15457" w:rsidRPr="00CF4F62" w:rsidRDefault="006568E8" w:rsidP="00B15457">
          <w:pPr>
            <w:pStyle w:val="NoteHead"/>
            <w:rPr>
              <w:b w:val="0"/>
            </w:rPr>
          </w:pPr>
          <w:sdt>
            <w:sdtPr>
              <w:rPr>
                <w:b w:val="0"/>
                <w:sz w:val="36"/>
                <w:szCs w:val="22"/>
              </w:rPr>
              <w:id w:val="882452579"/>
              <w:dataBinding w:xpath="/Texts/NoteHead" w:storeItemID="{4EF90DE6-88B6-4264-9629-4D8DFDFE87D2}"/>
              <w:text w:multiLine="1"/>
            </w:sdtPr>
            <w:sdtEndPr/>
            <w:sdtContent>
              <w:r w:rsidR="007D7E64">
                <w:rPr>
                  <w:b w:val="0"/>
                  <w:sz w:val="36"/>
                  <w:szCs w:val="22"/>
                </w:rPr>
                <w:t>Gui</w:t>
              </w:r>
              <w:r w:rsidR="005D272A">
                <w:rPr>
                  <w:b w:val="0"/>
                  <w:sz w:val="36"/>
                  <w:szCs w:val="22"/>
                </w:rPr>
                <w:t xml:space="preserve">dance note on the use of </w:t>
              </w:r>
              <w:r w:rsidR="006759E5">
                <w:rPr>
                  <w:b w:val="0"/>
                  <w:sz w:val="36"/>
                  <w:szCs w:val="22"/>
                </w:rPr>
                <w:t>A</w:t>
              </w:r>
              <w:r w:rsidR="005D272A">
                <w:rPr>
                  <w:b w:val="0"/>
                  <w:sz w:val="36"/>
                  <w:szCs w:val="22"/>
                </w:rPr>
                <w:t>rachne</w:t>
              </w:r>
            </w:sdtContent>
          </w:sdt>
        </w:p>
      </w:sdtContent>
    </w:sdt>
    <w:p w14:paraId="13D65FF0" w14:textId="77777777" w:rsidR="00634B14" w:rsidRPr="00634B14" w:rsidRDefault="00F40097" w:rsidP="00634B14">
      <w:pPr>
        <w:pStyle w:val="ListParagraph"/>
        <w:numPr>
          <w:ilvl w:val="0"/>
          <w:numId w:val="23"/>
        </w:numPr>
        <w:rPr>
          <w:b/>
        </w:rPr>
      </w:pPr>
      <w:r>
        <w:rPr>
          <w:b/>
        </w:rPr>
        <w:t>Introduction</w:t>
      </w:r>
    </w:p>
    <w:p w14:paraId="222B3096" w14:textId="77777777" w:rsidR="005D272A" w:rsidRDefault="005D272A" w:rsidP="00261165">
      <w:pPr>
        <w:rPr>
          <w:lang w:val="en-US"/>
        </w:rPr>
      </w:pPr>
      <w:r w:rsidRPr="00F40097">
        <w:rPr>
          <w:lang w:val="en-US"/>
        </w:rPr>
        <w:t xml:space="preserve">Arachne is an integrated IT tool for data mining and data enrichment developed by the Commission in the context of the structural funds. Arachne’s main objective is to support </w:t>
      </w:r>
      <w:r w:rsidR="00783AB9">
        <w:rPr>
          <w:lang w:val="en-US"/>
        </w:rPr>
        <w:t xml:space="preserve">national </w:t>
      </w:r>
      <w:r w:rsidRPr="00F40097">
        <w:rPr>
          <w:lang w:val="en-US"/>
        </w:rPr>
        <w:t xml:space="preserve">authorities in their administrative controls and </w:t>
      </w:r>
      <w:r w:rsidR="00783AB9">
        <w:rPr>
          <w:lang w:val="en-US"/>
        </w:rPr>
        <w:t>audits with a view to protect the EU financial interests.</w:t>
      </w:r>
    </w:p>
    <w:p w14:paraId="6DF3BF62" w14:textId="77777777" w:rsidR="00F0121B" w:rsidRPr="003E0761" w:rsidRDefault="00F0121B" w:rsidP="00F0121B">
      <w:pPr>
        <w:rPr>
          <w:lang w:val="en-US"/>
        </w:rPr>
      </w:pPr>
      <w:r>
        <w:rPr>
          <w:lang w:val="en-US"/>
        </w:rPr>
        <w:t>Arachne combined</w:t>
      </w:r>
      <w:r w:rsidRPr="00B15457">
        <w:t xml:space="preserve"> internal data on project</w:t>
      </w:r>
      <w:r>
        <w:t>s</w:t>
      </w:r>
      <w:r w:rsidRPr="00B15457">
        <w:t xml:space="preserve"> financed from the </w:t>
      </w:r>
      <w:r>
        <w:t>Union f</w:t>
      </w:r>
      <w:r w:rsidRPr="00B15457">
        <w:t>unds provided by the M</w:t>
      </w:r>
      <w:r>
        <w:t xml:space="preserve">ember </w:t>
      </w:r>
      <w:r w:rsidRPr="00B15457">
        <w:t>S</w:t>
      </w:r>
      <w:r>
        <w:t>tates</w:t>
      </w:r>
      <w:r w:rsidRPr="00B15457">
        <w:t xml:space="preserve"> with external </w:t>
      </w:r>
      <w:r>
        <w:t xml:space="preserve">publicly available </w:t>
      </w:r>
      <w:r w:rsidRPr="00B15457">
        <w:t>data</w:t>
      </w:r>
      <w:r>
        <w:t xml:space="preserve"> stemming from data basis such as </w:t>
      </w:r>
      <w:r w:rsidRPr="00B15457">
        <w:t>World</w:t>
      </w:r>
      <w:r w:rsidR="00A65B36">
        <w:t>C</w:t>
      </w:r>
      <w:r w:rsidRPr="00B15457">
        <w:t>ompliance and Orbis</w:t>
      </w:r>
      <w:r>
        <w:t xml:space="preserve">. Arachne </w:t>
      </w:r>
      <w:r w:rsidRPr="00136802">
        <w:t>processe</w:t>
      </w:r>
      <w:r>
        <w:t>s this data to identify linkages and calculates on that basis risk scores per project, beneficiary, contract and contractor. This allows to identify</w:t>
      </w:r>
      <w:r w:rsidRPr="003E0761">
        <w:rPr>
          <w:lang w:val="en-US"/>
        </w:rPr>
        <w:t xml:space="preserve"> </w:t>
      </w:r>
      <w:r>
        <w:rPr>
          <w:lang w:val="en-US"/>
        </w:rPr>
        <w:t xml:space="preserve">more easily those </w:t>
      </w:r>
      <w:r w:rsidRPr="003E0761">
        <w:rPr>
          <w:lang w:val="en-US"/>
        </w:rPr>
        <w:t xml:space="preserve">projects, beneficiaries, contracts and contractors </w:t>
      </w:r>
      <w:r>
        <w:rPr>
          <w:lang w:val="en-US"/>
        </w:rPr>
        <w:t>that</w:t>
      </w:r>
      <w:r w:rsidRPr="003E0761">
        <w:rPr>
          <w:lang w:val="en-US"/>
        </w:rPr>
        <w:t xml:space="preserve"> might </w:t>
      </w:r>
      <w:r>
        <w:rPr>
          <w:lang w:val="en-US"/>
        </w:rPr>
        <w:t>represent a higher risk</w:t>
      </w:r>
      <w:r w:rsidRPr="003E0761">
        <w:rPr>
          <w:lang w:val="en-US"/>
        </w:rPr>
        <w:t xml:space="preserve"> of fraud, </w:t>
      </w:r>
      <w:r>
        <w:rPr>
          <w:lang w:val="en-US"/>
        </w:rPr>
        <w:t xml:space="preserve">corruption, </w:t>
      </w:r>
      <w:r w:rsidRPr="003E0761">
        <w:rPr>
          <w:lang w:val="en-US"/>
        </w:rPr>
        <w:t>conflict of interest and</w:t>
      </w:r>
      <w:r>
        <w:rPr>
          <w:lang w:val="en-US"/>
        </w:rPr>
        <w:t>, to a lesser extent, double-funding</w:t>
      </w:r>
      <w:r w:rsidRPr="003E0761">
        <w:rPr>
          <w:lang w:val="en-US"/>
        </w:rPr>
        <w:t>.</w:t>
      </w:r>
    </w:p>
    <w:p w14:paraId="3B020B16" w14:textId="41147459" w:rsidR="00CD7802" w:rsidRDefault="00CD7802" w:rsidP="00261165">
      <w:pPr>
        <w:rPr>
          <w:lang w:val="en-US"/>
        </w:rPr>
      </w:pPr>
      <w:r>
        <w:rPr>
          <w:lang w:val="en-US"/>
        </w:rPr>
        <w:t xml:space="preserve">National data is uploaded </w:t>
      </w:r>
      <w:r w:rsidR="0097264A" w:rsidRPr="00A65B36">
        <w:rPr>
          <w:lang w:val="en-US"/>
        </w:rPr>
        <w:t>by the Member States</w:t>
      </w:r>
      <w:r w:rsidR="0097264A">
        <w:rPr>
          <w:lang w:val="en-US"/>
        </w:rPr>
        <w:t xml:space="preserve"> </w:t>
      </w:r>
      <w:r w:rsidR="007B16A2">
        <w:rPr>
          <w:lang w:val="en-US"/>
        </w:rPr>
        <w:t xml:space="preserve">directly </w:t>
      </w:r>
      <w:r>
        <w:rPr>
          <w:lang w:val="en-US"/>
        </w:rPr>
        <w:t xml:space="preserve">from the national IT system(s) into Arachne. This can be done at any moment but the Commission recommends strongly to upload data at least every quarter in order to obtain the most recent risk calculations. The Commission provides support to assist the Member States in the development of </w:t>
      </w:r>
      <w:r w:rsidR="007B16A2">
        <w:rPr>
          <w:lang w:val="en-US"/>
        </w:rPr>
        <w:t>an</w:t>
      </w:r>
      <w:r>
        <w:rPr>
          <w:lang w:val="en-US"/>
        </w:rPr>
        <w:t xml:space="preserve"> xml-file</w:t>
      </w:r>
      <w:r w:rsidR="00B25EAA">
        <w:rPr>
          <w:lang w:val="en-US"/>
        </w:rPr>
        <w:t xml:space="preserve"> </w:t>
      </w:r>
      <w:r w:rsidR="00B25EAA" w:rsidRPr="00A65B36">
        <w:rPr>
          <w:lang w:val="en-US"/>
        </w:rPr>
        <w:t>which matches national data to the Arachne data fields</w:t>
      </w:r>
      <w:r>
        <w:rPr>
          <w:lang w:val="en-US"/>
        </w:rPr>
        <w:t>.</w:t>
      </w:r>
    </w:p>
    <w:p w14:paraId="587027D4" w14:textId="77777777" w:rsidR="00CD7802" w:rsidRDefault="00CD7802" w:rsidP="00261165">
      <w:pPr>
        <w:rPr>
          <w:lang w:val="en-US"/>
        </w:rPr>
      </w:pPr>
      <w:r>
        <w:rPr>
          <w:lang w:val="en-US"/>
        </w:rPr>
        <w:t>The access to the risk scoring results is also available for the Commission. It has also been agreed that Olaf and ECA have access, on a case-by-case basis, to that data which is subject to an audit or an investigation.</w:t>
      </w:r>
    </w:p>
    <w:p w14:paraId="6FFE44BC" w14:textId="1760F707" w:rsidR="00634B14" w:rsidRDefault="00350531" w:rsidP="00261165">
      <w:pPr>
        <w:rPr>
          <w:lang w:val="en-US"/>
        </w:rPr>
      </w:pPr>
      <w:r w:rsidRPr="00F40097">
        <w:t>Art.</w:t>
      </w:r>
      <w:r w:rsidR="00634B14" w:rsidRPr="00F40097">
        <w:t xml:space="preserve"> </w:t>
      </w:r>
      <w:r w:rsidRPr="00F40097">
        <w:t>22</w:t>
      </w:r>
      <w:r w:rsidR="00634B14" w:rsidRPr="00F40097">
        <w:t>(</w:t>
      </w:r>
      <w:r w:rsidRPr="00F40097">
        <w:t>4</w:t>
      </w:r>
      <w:r w:rsidR="00634B14" w:rsidRPr="00F40097">
        <w:t>)</w:t>
      </w:r>
      <w:r w:rsidRPr="00F40097">
        <w:t xml:space="preserve"> of </w:t>
      </w:r>
      <w:r w:rsidR="009323B2" w:rsidRPr="00F40097">
        <w:t>the</w:t>
      </w:r>
      <w:r w:rsidRPr="00F40097">
        <w:t xml:space="preserve"> RRF</w:t>
      </w:r>
      <w:r w:rsidR="009323B2" w:rsidRPr="00F40097">
        <w:t xml:space="preserve"> Regulation</w:t>
      </w:r>
      <w:r w:rsidRPr="00F40097">
        <w:t xml:space="preserve"> </w:t>
      </w:r>
      <w:r w:rsidR="00CA5FD8" w:rsidRPr="00F40097">
        <w:t>mentions that “the Commission shall make available to the Member States an integrated and interoperable information and monitoring system including a single data-mining and risk-scoring tool to access and analyse the relevant data, with a view to a generalised application by Member States of that system including with support of the Technical Support Instrument”.</w:t>
      </w:r>
      <w:r w:rsidR="009323B2" w:rsidRPr="00F40097">
        <w:rPr>
          <w:sz w:val="19"/>
          <w:szCs w:val="19"/>
        </w:rPr>
        <w:t xml:space="preserve"> </w:t>
      </w:r>
      <w:r w:rsidR="00783AB9">
        <w:rPr>
          <w:lang w:val="en-US"/>
        </w:rPr>
        <w:t xml:space="preserve">In order to comply with this requirement, the Commission </w:t>
      </w:r>
      <w:r w:rsidR="00CD7802">
        <w:rPr>
          <w:lang w:val="en-US"/>
        </w:rPr>
        <w:t>is performing</w:t>
      </w:r>
      <w:r w:rsidR="00783AB9">
        <w:rPr>
          <w:lang w:val="en-US"/>
        </w:rPr>
        <w:t xml:space="preserve"> an update of ARACHNE and ensured that the system can be used in the context of the RRF. </w:t>
      </w:r>
    </w:p>
    <w:p w14:paraId="78F5BA59" w14:textId="77777777" w:rsidR="00196CF1" w:rsidRDefault="003E0761" w:rsidP="00261165">
      <w:r w:rsidRPr="00F40097">
        <w:t xml:space="preserve">The objective of this document is to provide guidance to national authorities on the use of Arachne </w:t>
      </w:r>
      <w:r w:rsidR="00634B14" w:rsidRPr="00F40097">
        <w:t>as a single data-mining and risk-scoring tool</w:t>
      </w:r>
      <w:r w:rsidRPr="00F40097">
        <w:t xml:space="preserve"> in the context of the RRF. </w:t>
      </w:r>
      <w:r w:rsidR="000958F6" w:rsidRPr="00F40097">
        <w:t xml:space="preserve">This </w:t>
      </w:r>
      <w:r w:rsidR="000958F6" w:rsidRPr="00F40097">
        <w:lastRenderedPageBreak/>
        <w:t>guidance does not intend to replace a specific IT training for users of the tool.</w:t>
      </w:r>
      <w:r w:rsidR="00783AB9">
        <w:rPr>
          <w:rStyle w:val="FootnoteReference"/>
        </w:rPr>
        <w:footnoteReference w:id="2"/>
      </w:r>
      <w:r w:rsidR="000958F6" w:rsidRPr="00F40097">
        <w:t xml:space="preserve"> </w:t>
      </w:r>
      <w:r w:rsidR="00FC0540" w:rsidRPr="00F40097">
        <w:t>In line with the conditions of the Charter on the use of Arachne, the Commission provides technical support and training to the Member States</w:t>
      </w:r>
      <w:r w:rsidR="006D5F13">
        <w:t xml:space="preserve"> upon request</w:t>
      </w:r>
      <w:r w:rsidR="00FC0540" w:rsidRPr="00F40097">
        <w:t>.</w:t>
      </w:r>
      <w:r w:rsidR="00196CF1">
        <w:t xml:space="preserve"> </w:t>
      </w:r>
    </w:p>
    <w:p w14:paraId="05FAEE75" w14:textId="77777777" w:rsidR="00F40097" w:rsidRPr="00634B14" w:rsidRDefault="00F40097" w:rsidP="00F40097">
      <w:pPr>
        <w:pStyle w:val="ListParagraph"/>
        <w:numPr>
          <w:ilvl w:val="0"/>
          <w:numId w:val="23"/>
        </w:numPr>
        <w:rPr>
          <w:b/>
        </w:rPr>
      </w:pPr>
      <w:r>
        <w:rPr>
          <w:b/>
        </w:rPr>
        <w:t>Recommended scope of application</w:t>
      </w:r>
    </w:p>
    <w:p w14:paraId="069AB761" w14:textId="77777777" w:rsidR="00783AB9" w:rsidRDefault="00783AB9" w:rsidP="003E0761">
      <w:pPr>
        <w:rPr>
          <w:lang w:val="en-US"/>
        </w:rPr>
      </w:pPr>
      <w:r w:rsidRPr="00F40097">
        <w:rPr>
          <w:lang w:val="en-US"/>
        </w:rPr>
        <w:t xml:space="preserve">The use of a </w:t>
      </w:r>
      <w:r w:rsidRPr="00F40097">
        <w:t>single data-mining and risk-scoring tool to access and analyse the relevant data</w:t>
      </w:r>
      <w:r w:rsidRPr="00F40097">
        <w:rPr>
          <w:lang w:val="en-US"/>
        </w:rPr>
        <w:t xml:space="preserve"> in the context of the RRF contributes to improving the control systems of the Member States, to strengthening fraud prevention and detection, and possibly</w:t>
      </w:r>
      <w:r w:rsidRPr="00F40097" w:rsidDel="00646F68">
        <w:rPr>
          <w:lang w:val="en-US"/>
        </w:rPr>
        <w:t xml:space="preserve"> </w:t>
      </w:r>
      <w:r w:rsidRPr="00F40097">
        <w:rPr>
          <w:lang w:val="en-US"/>
        </w:rPr>
        <w:t>to reducing serious irregularities. In addition, it facilitates the Member States’ continuous monitoring and provides an overview of the internal and external data regarding projects, beneficiaries and contracts/contractors.</w:t>
      </w:r>
    </w:p>
    <w:p w14:paraId="7879B28A" w14:textId="77777777" w:rsidR="000342FA" w:rsidRDefault="00F40097" w:rsidP="00F40097">
      <w:r w:rsidRPr="00F40097">
        <w:t>It is highly recommended that implementing authorities include the use of A</w:t>
      </w:r>
      <w:r w:rsidR="00E730F4">
        <w:t>rachne</w:t>
      </w:r>
      <w:r w:rsidRPr="00F40097">
        <w:t xml:space="preserve"> in their management and control procedures for the purposes of risk analysis, red flagging and risk-scoring</w:t>
      </w:r>
      <w:r w:rsidR="0013219D">
        <w:t xml:space="preserve">. </w:t>
      </w:r>
      <w:r w:rsidR="000342FA">
        <w:t>Arachne can supplement but does not replace other ex-ante or ex-post controls</w:t>
      </w:r>
      <w:r w:rsidR="00FE6DD6">
        <w:t xml:space="preserve"> and audits</w:t>
      </w:r>
      <w:r w:rsidR="000342FA">
        <w:t xml:space="preserve">. </w:t>
      </w:r>
    </w:p>
    <w:p w14:paraId="6FC36213" w14:textId="77777777" w:rsidR="00E45274" w:rsidRPr="007B16A2" w:rsidRDefault="0013219D" w:rsidP="00E45274">
      <w:r>
        <w:t>The use of Arachne can take place at various stages, for instance</w:t>
      </w:r>
      <w:r w:rsidR="00F40097" w:rsidRPr="00F40097">
        <w:t xml:space="preserve"> </w:t>
      </w:r>
      <w:r>
        <w:t xml:space="preserve">at </w:t>
      </w:r>
      <w:r w:rsidR="00F40097" w:rsidRPr="00F40097">
        <w:t>project selection, contract aw</w:t>
      </w:r>
      <w:r w:rsidR="00454643">
        <w:t>ard, project implementation</w:t>
      </w:r>
      <w:r w:rsidR="00FE6DD6">
        <w:t>,</w:t>
      </w:r>
      <w:r w:rsidR="00454643">
        <w:t xml:space="preserve"> </w:t>
      </w:r>
      <w:r w:rsidR="00F40097" w:rsidRPr="00F40097">
        <w:t>payments to the beneficiary</w:t>
      </w:r>
      <w:r w:rsidR="00FE6DD6">
        <w:t>, ex-post audits</w:t>
      </w:r>
      <w:r w:rsidR="00F40097" w:rsidRPr="00F40097">
        <w:t>.</w:t>
      </w:r>
      <w:r w:rsidR="00FE6DD6">
        <w:t xml:space="preserve"> It must be combined with other </w:t>
      </w:r>
      <w:r w:rsidR="00FE6DD6" w:rsidRPr="007B16A2">
        <w:t>instruments such as self-declarations</w:t>
      </w:r>
      <w:r w:rsidR="00A65B36" w:rsidRPr="007B16A2">
        <w:t xml:space="preserve"> </w:t>
      </w:r>
      <w:r w:rsidR="008149B2" w:rsidRPr="007B16A2">
        <w:t>on</w:t>
      </w:r>
      <w:r w:rsidR="00E45274" w:rsidRPr="007B16A2">
        <w:t xml:space="preserve"> absence of conflicts of interest. National authorities should also provide continuous, comprehensive and compulsory training on ethics and integrity and on how to identify, manage and monitor conflicts of interest.</w:t>
      </w:r>
      <w:r w:rsidR="00E45274" w:rsidRPr="007B16A2" w:rsidDel="004C3E83">
        <w:t xml:space="preserve"> </w:t>
      </w:r>
      <w:r w:rsidR="00E45274" w:rsidRPr="007B16A2">
        <w:t>Asset disclosure and policies for certain exclusive functions and/or cumulative jobs for holders of public office or officials in sensitive/higher risk posts could also help prevent and detect conflicts of interest.</w:t>
      </w:r>
      <w:r w:rsidR="00E45274" w:rsidRPr="007B16A2" w:rsidDel="004C3E83">
        <w:t xml:space="preserve"> </w:t>
      </w:r>
      <w:r w:rsidR="00E45274" w:rsidRPr="007B16A2">
        <w:t xml:space="preserve"> The identification of sensitive functions or activities to assure effective separation of functions will also reduce the risk of conflict of interest. Member States should have the procedures in place to remove staff </w:t>
      </w:r>
      <w:r w:rsidR="00B25EAA" w:rsidRPr="007B16A2">
        <w:t xml:space="preserve">from the involvement and/or functions related to specific projects, calls or procedures </w:t>
      </w:r>
      <w:r w:rsidR="00E45274" w:rsidRPr="007B16A2">
        <w:t xml:space="preserve">in cases of confirmed conflict of interest. </w:t>
      </w:r>
    </w:p>
    <w:p w14:paraId="35965C2D" w14:textId="77777777" w:rsidR="00E45274" w:rsidRDefault="00E45274" w:rsidP="00E45274">
      <w:r w:rsidRPr="007B16A2">
        <w:t>Whistleblowing procedures should be in place and include</w:t>
      </w:r>
      <w:r>
        <w:t xml:space="preserve"> elements such as what to report, how to report, to whom to report, where to find support, the protection of personal data, the protection measures for whistle-blowers, how their reporting will be investigated and communicated and the consequences for people who retaliate against whistle-blowers. </w:t>
      </w:r>
    </w:p>
    <w:p w14:paraId="13ED2967" w14:textId="77777777" w:rsidR="0013219D" w:rsidRDefault="00234275" w:rsidP="00F40097">
      <w:r>
        <w:t>It is up t</w:t>
      </w:r>
      <w:r w:rsidR="00A90A12">
        <w:t xml:space="preserve">o the authorities to decide </w:t>
      </w:r>
      <w:r w:rsidR="00FE6DD6">
        <w:t>how to integrate</w:t>
      </w:r>
      <w:r w:rsidR="00A90A12">
        <w:t xml:space="preserve"> Arachne </w:t>
      </w:r>
      <w:r>
        <w:t>in the</w:t>
      </w:r>
      <w:r w:rsidR="00FE6DD6">
        <w:t>ir audit and control systems and at what stage of the</w:t>
      </w:r>
      <w:r>
        <w:t xml:space="preserve"> impl</w:t>
      </w:r>
      <w:r w:rsidR="00A90A12">
        <w:t>ementation cycle of a project</w:t>
      </w:r>
      <w:r w:rsidR="00FE6DD6">
        <w:t xml:space="preserve"> to use it. They can for example </w:t>
      </w:r>
      <w:r w:rsidR="00A90A12">
        <w:t xml:space="preserve">use it when applicants are selected </w:t>
      </w:r>
      <w:r w:rsidR="00FE6DD6">
        <w:t xml:space="preserve">following a call for proposals, </w:t>
      </w:r>
      <w:r w:rsidR="00A90A12">
        <w:t>when contracts are signed with final beneficiaries</w:t>
      </w:r>
      <w:r w:rsidR="00FE6DD6">
        <w:t>, when they make payments or as part of their ex-post audits</w:t>
      </w:r>
      <w:r w:rsidR="00A90A12">
        <w:t>.</w:t>
      </w:r>
      <w:r w:rsidR="00FE6DD6" w:rsidDel="00FE6DD6">
        <w:t xml:space="preserve"> </w:t>
      </w:r>
    </w:p>
    <w:p w14:paraId="0C5A1EFA" w14:textId="77777777" w:rsidR="00FE6DD6" w:rsidRDefault="00FE6DD6" w:rsidP="00783AB9"/>
    <w:p w14:paraId="78630607" w14:textId="77777777" w:rsidR="00FC3244" w:rsidRPr="005C6C92" w:rsidRDefault="00FC3244" w:rsidP="009052B7">
      <w:pPr>
        <w:pStyle w:val="ListParagraph"/>
        <w:numPr>
          <w:ilvl w:val="0"/>
          <w:numId w:val="23"/>
        </w:numPr>
        <w:rPr>
          <w:b/>
        </w:rPr>
      </w:pPr>
      <w:r w:rsidRPr="005C6C92">
        <w:rPr>
          <w:b/>
        </w:rPr>
        <w:t>A</w:t>
      </w:r>
      <w:r w:rsidR="00E730F4">
        <w:rPr>
          <w:b/>
        </w:rPr>
        <w:t>rachne</w:t>
      </w:r>
      <w:r w:rsidRPr="005C6C92">
        <w:rPr>
          <w:b/>
        </w:rPr>
        <w:t xml:space="preserve"> </w:t>
      </w:r>
      <w:r w:rsidR="0019483A">
        <w:rPr>
          <w:b/>
        </w:rPr>
        <w:t xml:space="preserve">risk categories </w:t>
      </w:r>
      <w:r w:rsidRPr="005C6C92">
        <w:rPr>
          <w:b/>
        </w:rPr>
        <w:t>in the RRF context</w:t>
      </w:r>
    </w:p>
    <w:p w14:paraId="09EB3701" w14:textId="77777777" w:rsidR="003B05F6" w:rsidRDefault="00F0121B" w:rsidP="00081CAC">
      <w:r>
        <w:lastRenderedPageBreak/>
        <w:t xml:space="preserve">As Arachne was developed in the context of structural funds, it includes data </w:t>
      </w:r>
      <w:r w:rsidR="003B05F6">
        <w:t>that is</w:t>
      </w:r>
      <w:r>
        <w:t xml:space="preserve"> not all directly relevant for the RRF implementation. </w:t>
      </w:r>
      <w:r w:rsidR="00081CAC">
        <w:t>When assessing the risk</w:t>
      </w:r>
      <w:r w:rsidR="006E3E12">
        <w:t>s</w:t>
      </w:r>
      <w:r w:rsidR="00081CAC">
        <w:t xml:space="preserve"> associated to projects, Member States </w:t>
      </w:r>
      <w:r w:rsidR="002B06A1">
        <w:t xml:space="preserve">are recommended </w:t>
      </w:r>
      <w:r w:rsidR="00081CAC">
        <w:t>to pay close attention to</w:t>
      </w:r>
      <w:r w:rsidR="002B06A1">
        <w:t xml:space="preserve"> the</w:t>
      </w:r>
      <w:r>
        <w:t xml:space="preserve"> four</w:t>
      </w:r>
      <w:r w:rsidR="002B06A1">
        <w:t xml:space="preserve"> serious irregularities </w:t>
      </w:r>
      <w:r w:rsidR="003B05F6">
        <w:t>identified in the RRF re</w:t>
      </w:r>
      <w:r w:rsidR="00200E81">
        <w:t>g</w:t>
      </w:r>
      <w:r w:rsidR="003B05F6">
        <w:t>ulation, i.e.</w:t>
      </w:r>
      <w:r w:rsidR="002B06A1">
        <w:t xml:space="preserve"> </w:t>
      </w:r>
      <w:r w:rsidR="006E3E12">
        <w:t>conflict of interest, frau</w:t>
      </w:r>
      <w:r w:rsidR="002B06A1">
        <w:t>d,</w:t>
      </w:r>
      <w:r w:rsidR="006E3E12">
        <w:t xml:space="preserve"> corruption and double funding</w:t>
      </w:r>
      <w:r w:rsidR="00A40D69">
        <w:t xml:space="preserve">. </w:t>
      </w:r>
    </w:p>
    <w:p w14:paraId="1FA9C99A" w14:textId="77777777" w:rsidR="00934702" w:rsidRDefault="00A40D69" w:rsidP="00081CAC">
      <w:r>
        <w:t xml:space="preserve">The table below provides the indicators that are particularly relevant for </w:t>
      </w:r>
      <w:r w:rsidR="002B06A1">
        <w:t xml:space="preserve">each of </w:t>
      </w:r>
      <w:r>
        <w:t xml:space="preserve">these serious irregularities. </w:t>
      </w:r>
      <w:r w:rsidR="006E3E12">
        <w:t xml:space="preserve">. </w:t>
      </w:r>
      <w:r w:rsidR="00934702">
        <w:t xml:space="preserve"> </w:t>
      </w:r>
    </w:p>
    <w:tbl>
      <w:tblPr>
        <w:tblStyle w:val="TableGrid"/>
        <w:tblW w:w="9781" w:type="dxa"/>
        <w:tblInd w:w="-459" w:type="dxa"/>
        <w:tblLook w:val="04A0" w:firstRow="1" w:lastRow="0" w:firstColumn="1" w:lastColumn="0" w:noHBand="0" w:noVBand="1"/>
      </w:tblPr>
      <w:tblGrid>
        <w:gridCol w:w="1361"/>
        <w:gridCol w:w="1350"/>
        <w:gridCol w:w="4093"/>
        <w:gridCol w:w="2977"/>
      </w:tblGrid>
      <w:tr w:rsidR="00895D12" w:rsidRPr="00174155" w14:paraId="3B206FD3" w14:textId="77777777" w:rsidTr="003B05F6">
        <w:tc>
          <w:tcPr>
            <w:tcW w:w="1361" w:type="dxa"/>
          </w:tcPr>
          <w:p w14:paraId="4FA7E12D" w14:textId="77777777" w:rsidR="00895D12" w:rsidRPr="00174155" w:rsidRDefault="00895D12" w:rsidP="003B05F6">
            <w:pPr>
              <w:keepNext/>
              <w:spacing w:before="40" w:after="40"/>
              <w:jc w:val="center"/>
              <w:rPr>
                <w:rFonts w:ascii="Times New Roman" w:hAnsi="Times New Roman"/>
                <w:b/>
                <w:sz w:val="20"/>
                <w:szCs w:val="20"/>
              </w:rPr>
            </w:pPr>
            <w:r w:rsidRPr="00174155">
              <w:rPr>
                <w:rFonts w:ascii="Times New Roman" w:hAnsi="Times New Roman"/>
                <w:b/>
                <w:sz w:val="20"/>
                <w:szCs w:val="20"/>
              </w:rPr>
              <w:lastRenderedPageBreak/>
              <w:t>Serious Irregularities</w:t>
            </w:r>
          </w:p>
        </w:tc>
        <w:tc>
          <w:tcPr>
            <w:tcW w:w="1350" w:type="dxa"/>
          </w:tcPr>
          <w:p w14:paraId="76765914" w14:textId="77777777" w:rsidR="00895D12" w:rsidRPr="00174155" w:rsidRDefault="00895D12" w:rsidP="003B05F6">
            <w:pPr>
              <w:keepNext/>
              <w:spacing w:before="40" w:after="40"/>
              <w:jc w:val="center"/>
              <w:rPr>
                <w:rFonts w:ascii="Times New Roman" w:hAnsi="Times New Roman"/>
                <w:b/>
                <w:sz w:val="20"/>
                <w:szCs w:val="20"/>
              </w:rPr>
            </w:pPr>
            <w:r w:rsidRPr="00174155">
              <w:rPr>
                <w:rFonts w:ascii="Times New Roman" w:hAnsi="Times New Roman"/>
                <w:b/>
                <w:sz w:val="20"/>
                <w:szCs w:val="20"/>
              </w:rPr>
              <w:t>Project risk category</w:t>
            </w:r>
          </w:p>
        </w:tc>
        <w:tc>
          <w:tcPr>
            <w:tcW w:w="4093" w:type="dxa"/>
          </w:tcPr>
          <w:p w14:paraId="35445D63" w14:textId="77777777" w:rsidR="00895D12" w:rsidRPr="00174155" w:rsidRDefault="00895D12" w:rsidP="003B05F6">
            <w:pPr>
              <w:keepNext/>
              <w:spacing w:before="40" w:after="40"/>
              <w:jc w:val="center"/>
              <w:rPr>
                <w:rFonts w:ascii="Times New Roman" w:hAnsi="Times New Roman"/>
                <w:b/>
                <w:sz w:val="20"/>
                <w:szCs w:val="20"/>
              </w:rPr>
            </w:pPr>
            <w:r w:rsidRPr="00174155">
              <w:rPr>
                <w:rFonts w:ascii="Times New Roman" w:hAnsi="Times New Roman"/>
                <w:b/>
                <w:sz w:val="20"/>
                <w:szCs w:val="20"/>
              </w:rPr>
              <w:t xml:space="preserve">Key project risk </w:t>
            </w:r>
            <w:r w:rsidR="008B0CAB">
              <w:rPr>
                <w:rFonts w:ascii="Times New Roman" w:hAnsi="Times New Roman"/>
                <w:b/>
                <w:sz w:val="20"/>
                <w:szCs w:val="20"/>
              </w:rPr>
              <w:t>indicator</w:t>
            </w:r>
            <w:r w:rsidRPr="00174155">
              <w:rPr>
                <w:rFonts w:ascii="Times New Roman" w:hAnsi="Times New Roman"/>
                <w:b/>
                <w:sz w:val="20"/>
                <w:szCs w:val="20"/>
              </w:rPr>
              <w:t xml:space="preserve"> to be verified</w:t>
            </w:r>
          </w:p>
        </w:tc>
        <w:tc>
          <w:tcPr>
            <w:tcW w:w="2977" w:type="dxa"/>
          </w:tcPr>
          <w:p w14:paraId="1ABF6207" w14:textId="77777777" w:rsidR="00895D12" w:rsidRPr="00174155" w:rsidRDefault="00895D12" w:rsidP="003B05F6">
            <w:pPr>
              <w:keepNext/>
              <w:spacing w:before="40" w:after="40"/>
              <w:jc w:val="center"/>
              <w:rPr>
                <w:rFonts w:ascii="Times New Roman" w:hAnsi="Times New Roman"/>
                <w:b/>
                <w:sz w:val="20"/>
                <w:szCs w:val="20"/>
              </w:rPr>
            </w:pPr>
            <w:r w:rsidRPr="00174155">
              <w:rPr>
                <w:rFonts w:ascii="Times New Roman" w:hAnsi="Times New Roman"/>
                <w:b/>
                <w:sz w:val="20"/>
                <w:szCs w:val="20"/>
              </w:rPr>
              <w:t xml:space="preserve">Secondary project risk </w:t>
            </w:r>
            <w:r w:rsidR="008B0CAB">
              <w:rPr>
                <w:rFonts w:ascii="Times New Roman" w:hAnsi="Times New Roman"/>
                <w:b/>
                <w:sz w:val="20"/>
                <w:szCs w:val="20"/>
              </w:rPr>
              <w:t>indicator</w:t>
            </w:r>
            <w:r w:rsidRPr="00174155">
              <w:rPr>
                <w:rFonts w:ascii="Times New Roman" w:hAnsi="Times New Roman"/>
                <w:b/>
                <w:sz w:val="20"/>
                <w:szCs w:val="20"/>
              </w:rPr>
              <w:t xml:space="preserve"> to be verified </w:t>
            </w:r>
          </w:p>
        </w:tc>
      </w:tr>
      <w:tr w:rsidR="00895D12" w:rsidRPr="00174155" w14:paraId="787DA87C" w14:textId="77777777" w:rsidTr="003B05F6">
        <w:tc>
          <w:tcPr>
            <w:tcW w:w="1361" w:type="dxa"/>
          </w:tcPr>
          <w:p w14:paraId="666EBDDA" w14:textId="77777777" w:rsidR="00895D12" w:rsidRPr="00174155" w:rsidRDefault="00895D12" w:rsidP="003B05F6">
            <w:pPr>
              <w:keepNext/>
              <w:spacing w:before="40" w:after="40"/>
              <w:jc w:val="left"/>
              <w:rPr>
                <w:rFonts w:ascii="Times New Roman" w:hAnsi="Times New Roman"/>
                <w:sz w:val="20"/>
                <w:szCs w:val="20"/>
              </w:rPr>
            </w:pPr>
            <w:r w:rsidRPr="00174155">
              <w:rPr>
                <w:rFonts w:ascii="Times New Roman" w:hAnsi="Times New Roman"/>
                <w:sz w:val="20"/>
                <w:szCs w:val="20"/>
              </w:rPr>
              <w:t>Conflict of interest</w:t>
            </w:r>
          </w:p>
        </w:tc>
        <w:tc>
          <w:tcPr>
            <w:tcW w:w="1350" w:type="dxa"/>
          </w:tcPr>
          <w:p w14:paraId="417649FC" w14:textId="77777777" w:rsidR="00895D12" w:rsidRPr="00174155" w:rsidRDefault="00895D12" w:rsidP="003B05F6">
            <w:pPr>
              <w:keepNext/>
              <w:spacing w:before="40" w:after="40"/>
              <w:jc w:val="left"/>
              <w:rPr>
                <w:rFonts w:ascii="Times New Roman" w:hAnsi="Times New Roman"/>
                <w:sz w:val="20"/>
                <w:szCs w:val="20"/>
              </w:rPr>
            </w:pPr>
            <w:r w:rsidRPr="00174155">
              <w:rPr>
                <w:rFonts w:ascii="Times New Roman" w:hAnsi="Times New Roman"/>
                <w:sz w:val="20"/>
                <w:szCs w:val="20"/>
              </w:rPr>
              <w:t>Reputational &amp; Fraud Alerts</w:t>
            </w:r>
          </w:p>
        </w:tc>
        <w:tc>
          <w:tcPr>
            <w:tcW w:w="4093" w:type="dxa"/>
          </w:tcPr>
          <w:p w14:paraId="720110B3" w14:textId="77777777" w:rsidR="00895D12" w:rsidRPr="00174155" w:rsidRDefault="00895D12" w:rsidP="003B05F6">
            <w:pPr>
              <w:keepNext/>
              <w:spacing w:before="40" w:after="40"/>
              <w:jc w:val="left"/>
              <w:rPr>
                <w:rFonts w:ascii="Times New Roman" w:hAnsi="Times New Roman"/>
                <w:sz w:val="20"/>
                <w:szCs w:val="20"/>
              </w:rPr>
            </w:pPr>
            <w:r w:rsidRPr="00174155">
              <w:rPr>
                <w:rFonts w:ascii="Times New Roman" w:hAnsi="Times New Roman"/>
                <w:sz w:val="20"/>
                <w:szCs w:val="20"/>
              </w:rPr>
              <w:t>Links between beneficiaries/ project partners</w:t>
            </w:r>
          </w:p>
          <w:p w14:paraId="2DEAA029" w14:textId="77777777" w:rsidR="00895D12" w:rsidRPr="00174155" w:rsidRDefault="00895D12" w:rsidP="003B05F6">
            <w:pPr>
              <w:keepNext/>
              <w:spacing w:before="40" w:after="40"/>
              <w:jc w:val="left"/>
              <w:rPr>
                <w:rFonts w:ascii="Times New Roman" w:hAnsi="Times New Roman"/>
                <w:sz w:val="20"/>
                <w:szCs w:val="20"/>
              </w:rPr>
            </w:pPr>
            <w:r w:rsidRPr="00174155">
              <w:rPr>
                <w:rFonts w:ascii="Times New Roman" w:hAnsi="Times New Roman"/>
                <w:sz w:val="20"/>
                <w:szCs w:val="20"/>
              </w:rPr>
              <w:t>Links between beneficiaries/ project partners and contractors/ Consortium members</w:t>
            </w:r>
          </w:p>
          <w:p w14:paraId="1D0F058F" w14:textId="77777777" w:rsidR="00895D12" w:rsidRPr="00174155" w:rsidRDefault="00895D12" w:rsidP="003B05F6">
            <w:pPr>
              <w:keepNext/>
              <w:spacing w:before="40" w:after="40"/>
              <w:jc w:val="left"/>
              <w:rPr>
                <w:rFonts w:ascii="Times New Roman" w:hAnsi="Times New Roman"/>
                <w:sz w:val="20"/>
                <w:szCs w:val="20"/>
              </w:rPr>
            </w:pPr>
            <w:r w:rsidRPr="00174155">
              <w:rPr>
                <w:rFonts w:ascii="Times New Roman" w:hAnsi="Times New Roman"/>
                <w:sz w:val="20"/>
                <w:szCs w:val="20"/>
              </w:rPr>
              <w:t>Links between beneficiaries/ project partners and subcontractors</w:t>
            </w:r>
          </w:p>
          <w:p w14:paraId="64550F6C" w14:textId="77777777" w:rsidR="00895D12" w:rsidRPr="00174155" w:rsidRDefault="00895D12" w:rsidP="003B05F6">
            <w:pPr>
              <w:keepNext/>
              <w:spacing w:before="40" w:after="40"/>
              <w:jc w:val="left"/>
              <w:rPr>
                <w:rFonts w:ascii="Times New Roman" w:hAnsi="Times New Roman"/>
                <w:sz w:val="20"/>
                <w:szCs w:val="20"/>
              </w:rPr>
            </w:pPr>
            <w:r w:rsidRPr="00174155">
              <w:rPr>
                <w:rFonts w:ascii="Times New Roman" w:hAnsi="Times New Roman"/>
                <w:sz w:val="20"/>
                <w:szCs w:val="20"/>
              </w:rPr>
              <w:t>Links between contractors/ consortium members</w:t>
            </w:r>
          </w:p>
          <w:p w14:paraId="2E3D7F39" w14:textId="77777777" w:rsidR="00895D12" w:rsidRPr="00174155" w:rsidRDefault="00895D12" w:rsidP="003B05F6">
            <w:pPr>
              <w:keepNext/>
              <w:spacing w:before="40" w:after="40"/>
              <w:jc w:val="left"/>
              <w:rPr>
                <w:rFonts w:ascii="Times New Roman" w:hAnsi="Times New Roman"/>
                <w:sz w:val="20"/>
                <w:szCs w:val="20"/>
              </w:rPr>
            </w:pPr>
            <w:r w:rsidRPr="00174155">
              <w:rPr>
                <w:rFonts w:ascii="Times New Roman" w:hAnsi="Times New Roman"/>
                <w:sz w:val="20"/>
                <w:szCs w:val="20"/>
              </w:rPr>
              <w:t>Links between contractors/ consortium members and subcontractors</w:t>
            </w:r>
          </w:p>
          <w:p w14:paraId="08467125" w14:textId="77777777" w:rsidR="00895D12" w:rsidRPr="00174155" w:rsidRDefault="00895D12" w:rsidP="003B05F6">
            <w:pPr>
              <w:keepNext/>
              <w:spacing w:before="40" w:after="40"/>
              <w:jc w:val="left"/>
              <w:rPr>
                <w:rFonts w:ascii="Times New Roman" w:hAnsi="Times New Roman"/>
                <w:sz w:val="20"/>
                <w:szCs w:val="20"/>
              </w:rPr>
            </w:pPr>
            <w:r w:rsidRPr="00174155">
              <w:rPr>
                <w:rFonts w:ascii="Times New Roman" w:hAnsi="Times New Roman"/>
                <w:sz w:val="20"/>
                <w:szCs w:val="20"/>
              </w:rPr>
              <w:t>Involvement in PEP lists</w:t>
            </w:r>
          </w:p>
        </w:tc>
        <w:tc>
          <w:tcPr>
            <w:tcW w:w="2977" w:type="dxa"/>
          </w:tcPr>
          <w:p w14:paraId="116F5E34" w14:textId="77777777" w:rsidR="00895D12" w:rsidRPr="00174155" w:rsidRDefault="00895D12" w:rsidP="003B05F6">
            <w:pPr>
              <w:keepNext/>
              <w:spacing w:before="40" w:after="40"/>
              <w:jc w:val="left"/>
              <w:rPr>
                <w:rFonts w:ascii="Times New Roman" w:hAnsi="Times New Roman"/>
                <w:sz w:val="20"/>
                <w:szCs w:val="20"/>
              </w:rPr>
            </w:pPr>
            <w:r w:rsidRPr="00174155">
              <w:rPr>
                <w:rFonts w:ascii="Times New Roman" w:hAnsi="Times New Roman"/>
                <w:sz w:val="20"/>
                <w:szCs w:val="20"/>
              </w:rPr>
              <w:t xml:space="preserve">High rotation of directors </w:t>
            </w:r>
          </w:p>
        </w:tc>
      </w:tr>
      <w:tr w:rsidR="00895D12" w:rsidRPr="00174155" w14:paraId="2377F20D" w14:textId="77777777" w:rsidTr="003B05F6">
        <w:tc>
          <w:tcPr>
            <w:tcW w:w="1361" w:type="dxa"/>
          </w:tcPr>
          <w:p w14:paraId="07B594B6" w14:textId="77777777" w:rsidR="00895D12" w:rsidRPr="00174155" w:rsidRDefault="00895D12" w:rsidP="003B05F6">
            <w:pPr>
              <w:keepNext/>
              <w:spacing w:before="40" w:after="40"/>
              <w:jc w:val="left"/>
              <w:rPr>
                <w:rFonts w:ascii="Times New Roman" w:hAnsi="Times New Roman"/>
                <w:sz w:val="20"/>
                <w:szCs w:val="20"/>
              </w:rPr>
            </w:pPr>
            <w:r w:rsidRPr="00174155">
              <w:rPr>
                <w:rFonts w:ascii="Times New Roman" w:hAnsi="Times New Roman"/>
                <w:sz w:val="20"/>
                <w:szCs w:val="20"/>
              </w:rPr>
              <w:t>Fraud and corruption</w:t>
            </w:r>
          </w:p>
        </w:tc>
        <w:tc>
          <w:tcPr>
            <w:tcW w:w="1350" w:type="dxa"/>
          </w:tcPr>
          <w:p w14:paraId="5C16C0BD" w14:textId="77777777" w:rsidR="00895D12" w:rsidRPr="00174155" w:rsidRDefault="00895D12" w:rsidP="003B05F6">
            <w:pPr>
              <w:keepNext/>
              <w:spacing w:before="40" w:after="40"/>
              <w:jc w:val="left"/>
              <w:rPr>
                <w:rFonts w:ascii="Times New Roman" w:hAnsi="Times New Roman"/>
                <w:sz w:val="20"/>
                <w:szCs w:val="20"/>
              </w:rPr>
            </w:pPr>
            <w:r w:rsidRPr="00174155">
              <w:rPr>
                <w:rFonts w:ascii="Times New Roman" w:hAnsi="Times New Roman"/>
                <w:sz w:val="20"/>
                <w:szCs w:val="20"/>
              </w:rPr>
              <w:t>Reputational &amp; Fraud Alerts</w:t>
            </w:r>
          </w:p>
        </w:tc>
        <w:tc>
          <w:tcPr>
            <w:tcW w:w="4093" w:type="dxa"/>
          </w:tcPr>
          <w:p w14:paraId="6FECFC75" w14:textId="77777777" w:rsidR="00895D12" w:rsidRPr="00174155" w:rsidRDefault="00895D12" w:rsidP="003B05F6">
            <w:pPr>
              <w:keepNext/>
              <w:spacing w:before="40" w:after="40"/>
              <w:jc w:val="left"/>
              <w:rPr>
                <w:rFonts w:ascii="Times New Roman" w:hAnsi="Times New Roman"/>
                <w:sz w:val="20"/>
                <w:szCs w:val="20"/>
              </w:rPr>
            </w:pPr>
            <w:r w:rsidRPr="00174155">
              <w:rPr>
                <w:rFonts w:ascii="Times New Roman" w:hAnsi="Times New Roman"/>
                <w:sz w:val="20"/>
                <w:szCs w:val="20"/>
              </w:rPr>
              <w:t>Beneficiaries with invalid VAT number</w:t>
            </w:r>
          </w:p>
          <w:p w14:paraId="719E009F" w14:textId="77777777" w:rsidR="00895D12" w:rsidRPr="00174155" w:rsidRDefault="00895D12" w:rsidP="003B05F6">
            <w:pPr>
              <w:keepNext/>
              <w:spacing w:before="40" w:after="40"/>
              <w:jc w:val="left"/>
              <w:rPr>
                <w:rFonts w:ascii="Times New Roman" w:hAnsi="Times New Roman"/>
                <w:sz w:val="20"/>
                <w:szCs w:val="20"/>
              </w:rPr>
            </w:pPr>
            <w:r w:rsidRPr="00174155">
              <w:rPr>
                <w:rFonts w:ascii="Times New Roman" w:hAnsi="Times New Roman"/>
                <w:sz w:val="20"/>
                <w:szCs w:val="20"/>
              </w:rPr>
              <w:t>Registration of multiple companies on same address</w:t>
            </w:r>
          </w:p>
          <w:p w14:paraId="558AD829" w14:textId="77777777" w:rsidR="00895D12" w:rsidRPr="00174155" w:rsidRDefault="00895D12" w:rsidP="003B05F6">
            <w:pPr>
              <w:keepNext/>
              <w:spacing w:before="40" w:after="40"/>
              <w:jc w:val="left"/>
              <w:rPr>
                <w:rFonts w:ascii="Times New Roman" w:hAnsi="Times New Roman"/>
                <w:sz w:val="20"/>
                <w:szCs w:val="20"/>
              </w:rPr>
            </w:pPr>
            <w:r w:rsidRPr="00174155">
              <w:rPr>
                <w:rFonts w:ascii="Times New Roman" w:hAnsi="Times New Roman"/>
                <w:sz w:val="20"/>
                <w:szCs w:val="20"/>
              </w:rPr>
              <w:t>Inconsistent activities</w:t>
            </w:r>
          </w:p>
          <w:p w14:paraId="4A93753C" w14:textId="77777777" w:rsidR="00895D12" w:rsidRPr="00174155" w:rsidRDefault="00895D12" w:rsidP="003B05F6">
            <w:pPr>
              <w:keepNext/>
              <w:spacing w:before="40" w:after="40"/>
              <w:jc w:val="left"/>
              <w:rPr>
                <w:rFonts w:ascii="Times New Roman" w:hAnsi="Times New Roman"/>
                <w:sz w:val="20"/>
                <w:szCs w:val="20"/>
              </w:rPr>
            </w:pPr>
            <w:r w:rsidRPr="00174155">
              <w:rPr>
                <w:rFonts w:ascii="Times New Roman" w:hAnsi="Times New Roman"/>
                <w:sz w:val="20"/>
                <w:szCs w:val="20"/>
              </w:rPr>
              <w:t>Name or address changes</w:t>
            </w:r>
          </w:p>
          <w:p w14:paraId="16055E8F" w14:textId="77777777" w:rsidR="00895D12" w:rsidRPr="00174155" w:rsidRDefault="00895D12" w:rsidP="003B05F6">
            <w:pPr>
              <w:keepNext/>
              <w:spacing w:before="40" w:after="40"/>
              <w:jc w:val="left"/>
              <w:rPr>
                <w:rFonts w:ascii="Times New Roman" w:hAnsi="Times New Roman"/>
                <w:sz w:val="20"/>
                <w:szCs w:val="20"/>
              </w:rPr>
            </w:pPr>
            <w:r w:rsidRPr="00174155">
              <w:rPr>
                <w:rFonts w:ascii="Times New Roman" w:hAnsi="Times New Roman"/>
                <w:sz w:val="20"/>
                <w:szCs w:val="20"/>
              </w:rPr>
              <w:t>Involvement in sanction lists</w:t>
            </w:r>
          </w:p>
          <w:p w14:paraId="67094CAB" w14:textId="77777777" w:rsidR="00895D12" w:rsidRPr="003B05F6" w:rsidRDefault="00895D12" w:rsidP="003B05F6">
            <w:pPr>
              <w:keepNext/>
              <w:spacing w:before="40" w:after="40"/>
              <w:jc w:val="left"/>
              <w:rPr>
                <w:rFonts w:ascii="Times New Roman" w:hAnsi="Times New Roman"/>
                <w:sz w:val="20"/>
                <w:szCs w:val="20"/>
              </w:rPr>
            </w:pPr>
            <w:r w:rsidRPr="00174155">
              <w:rPr>
                <w:rFonts w:ascii="Times New Roman" w:hAnsi="Times New Roman"/>
                <w:sz w:val="20"/>
                <w:szCs w:val="20"/>
              </w:rPr>
              <w:t>Involvement in enforcement lists</w:t>
            </w:r>
          </w:p>
        </w:tc>
        <w:tc>
          <w:tcPr>
            <w:tcW w:w="2977" w:type="dxa"/>
          </w:tcPr>
          <w:p w14:paraId="6ACF2937" w14:textId="77777777" w:rsidR="00895D12" w:rsidRPr="00174155" w:rsidRDefault="00895D12" w:rsidP="003B05F6">
            <w:pPr>
              <w:keepNext/>
              <w:spacing w:before="40" w:after="40"/>
              <w:jc w:val="left"/>
              <w:rPr>
                <w:rFonts w:ascii="Times New Roman" w:hAnsi="Times New Roman"/>
                <w:sz w:val="20"/>
                <w:szCs w:val="20"/>
              </w:rPr>
            </w:pPr>
            <w:r w:rsidRPr="00174155">
              <w:rPr>
                <w:rFonts w:ascii="Times New Roman" w:hAnsi="Times New Roman"/>
                <w:sz w:val="20"/>
                <w:szCs w:val="20"/>
              </w:rPr>
              <w:t>High or deteriorating propensity to bankruptcy</w:t>
            </w:r>
          </w:p>
          <w:p w14:paraId="286D0ECE" w14:textId="77777777" w:rsidR="00895D12" w:rsidRPr="00174155" w:rsidRDefault="00895D12" w:rsidP="003B05F6">
            <w:pPr>
              <w:keepNext/>
              <w:spacing w:before="40" w:after="40"/>
              <w:jc w:val="left"/>
              <w:rPr>
                <w:rFonts w:ascii="Times New Roman" w:hAnsi="Times New Roman"/>
                <w:sz w:val="20"/>
                <w:szCs w:val="20"/>
              </w:rPr>
            </w:pPr>
            <w:r w:rsidRPr="00174155">
              <w:rPr>
                <w:rFonts w:ascii="Times New Roman" w:hAnsi="Times New Roman"/>
                <w:sz w:val="20"/>
                <w:szCs w:val="20"/>
              </w:rPr>
              <w:t>Non filing of annual accounts</w:t>
            </w:r>
          </w:p>
          <w:p w14:paraId="7ADDB6FF" w14:textId="77777777" w:rsidR="00895D12" w:rsidRPr="00174155" w:rsidRDefault="00895D12" w:rsidP="003B05F6">
            <w:pPr>
              <w:keepNext/>
              <w:spacing w:before="40" w:after="40"/>
              <w:jc w:val="left"/>
              <w:rPr>
                <w:rFonts w:ascii="Times New Roman" w:hAnsi="Times New Roman"/>
                <w:sz w:val="20"/>
                <w:szCs w:val="20"/>
              </w:rPr>
            </w:pPr>
            <w:r w:rsidRPr="00174155">
              <w:rPr>
                <w:rFonts w:ascii="Times New Roman" w:hAnsi="Times New Roman"/>
                <w:sz w:val="20"/>
                <w:szCs w:val="20"/>
              </w:rPr>
              <w:t>High or deteriorating rating compared to sector benchmark</w:t>
            </w:r>
          </w:p>
          <w:p w14:paraId="26C23D63" w14:textId="77777777" w:rsidR="00895D12" w:rsidRPr="00174155" w:rsidRDefault="00895D12" w:rsidP="003B05F6">
            <w:pPr>
              <w:keepNext/>
              <w:spacing w:before="40" w:after="40"/>
              <w:jc w:val="left"/>
              <w:rPr>
                <w:rFonts w:ascii="Times New Roman" w:hAnsi="Times New Roman"/>
                <w:sz w:val="20"/>
                <w:szCs w:val="20"/>
              </w:rPr>
            </w:pPr>
            <w:r w:rsidRPr="00174155">
              <w:rPr>
                <w:rFonts w:ascii="Times New Roman" w:hAnsi="Times New Roman"/>
                <w:sz w:val="20"/>
                <w:szCs w:val="20"/>
              </w:rPr>
              <w:t>High financial ratings of associated companies</w:t>
            </w:r>
          </w:p>
          <w:p w14:paraId="04B9D669" w14:textId="77777777" w:rsidR="00895D12" w:rsidRPr="00174155" w:rsidRDefault="00895D12" w:rsidP="003B05F6">
            <w:pPr>
              <w:keepNext/>
              <w:spacing w:before="40" w:after="40"/>
              <w:jc w:val="left"/>
              <w:rPr>
                <w:rFonts w:ascii="Times New Roman" w:hAnsi="Times New Roman"/>
                <w:sz w:val="20"/>
                <w:szCs w:val="20"/>
              </w:rPr>
            </w:pPr>
            <w:r w:rsidRPr="00174155">
              <w:rPr>
                <w:rFonts w:ascii="Times New Roman" w:hAnsi="Times New Roman"/>
                <w:sz w:val="20"/>
                <w:szCs w:val="20"/>
              </w:rPr>
              <w:t>Involvement of directors/owners with bankruptcies</w:t>
            </w:r>
          </w:p>
          <w:p w14:paraId="68632CA5" w14:textId="77777777" w:rsidR="00895D12" w:rsidRPr="00174155" w:rsidRDefault="00895D12" w:rsidP="003B05F6">
            <w:pPr>
              <w:keepNext/>
              <w:spacing w:before="40" w:after="40"/>
              <w:jc w:val="left"/>
              <w:rPr>
                <w:rFonts w:ascii="Times New Roman" w:hAnsi="Times New Roman"/>
                <w:sz w:val="20"/>
                <w:szCs w:val="20"/>
              </w:rPr>
            </w:pPr>
            <w:r w:rsidRPr="00174155">
              <w:rPr>
                <w:rFonts w:ascii="Times New Roman" w:hAnsi="Times New Roman"/>
                <w:sz w:val="20"/>
                <w:szCs w:val="20"/>
              </w:rPr>
              <w:t>Involvement of directors/owners in sensitive regions</w:t>
            </w:r>
          </w:p>
          <w:p w14:paraId="3FB4A01D" w14:textId="77777777" w:rsidR="00895D12" w:rsidRPr="00174155" w:rsidRDefault="00895D12" w:rsidP="003B05F6">
            <w:pPr>
              <w:keepNext/>
              <w:spacing w:before="40" w:after="40"/>
              <w:jc w:val="left"/>
              <w:rPr>
                <w:rFonts w:ascii="Times New Roman" w:hAnsi="Times New Roman"/>
                <w:sz w:val="20"/>
                <w:szCs w:val="20"/>
              </w:rPr>
            </w:pPr>
            <w:r w:rsidRPr="00174155">
              <w:rPr>
                <w:rFonts w:ascii="Times New Roman" w:hAnsi="Times New Roman"/>
                <w:sz w:val="20"/>
                <w:szCs w:val="20"/>
              </w:rPr>
              <w:t>Incorporation in sensitive regions</w:t>
            </w:r>
          </w:p>
          <w:p w14:paraId="0F6F6123" w14:textId="77777777" w:rsidR="00895D12" w:rsidRPr="00174155" w:rsidRDefault="00895D12" w:rsidP="003B05F6">
            <w:pPr>
              <w:keepNext/>
              <w:spacing w:before="40" w:after="40"/>
              <w:jc w:val="left"/>
              <w:rPr>
                <w:rFonts w:ascii="Times New Roman" w:hAnsi="Times New Roman"/>
                <w:sz w:val="20"/>
                <w:szCs w:val="20"/>
              </w:rPr>
            </w:pPr>
            <w:r w:rsidRPr="00174155">
              <w:rPr>
                <w:rFonts w:ascii="Times New Roman" w:hAnsi="Times New Roman"/>
                <w:sz w:val="20"/>
                <w:szCs w:val="20"/>
              </w:rPr>
              <w:t>Group involvement in sensitive regions</w:t>
            </w:r>
          </w:p>
          <w:p w14:paraId="3EEE4512" w14:textId="77777777" w:rsidR="00895D12" w:rsidRPr="00174155" w:rsidRDefault="00895D12" w:rsidP="003B05F6">
            <w:pPr>
              <w:keepNext/>
              <w:spacing w:before="40" w:after="40"/>
              <w:jc w:val="left"/>
              <w:rPr>
                <w:rFonts w:ascii="Times New Roman" w:hAnsi="Times New Roman"/>
                <w:sz w:val="20"/>
                <w:szCs w:val="20"/>
              </w:rPr>
            </w:pPr>
            <w:r w:rsidRPr="00174155">
              <w:rPr>
                <w:rFonts w:ascii="Times New Roman" w:hAnsi="Times New Roman"/>
                <w:sz w:val="20"/>
                <w:szCs w:val="20"/>
              </w:rPr>
              <w:t>Use of PO box address</w:t>
            </w:r>
          </w:p>
          <w:p w14:paraId="55DC96B5" w14:textId="77777777" w:rsidR="00895D12" w:rsidRPr="00174155" w:rsidRDefault="00895D12" w:rsidP="003B05F6">
            <w:pPr>
              <w:keepNext/>
              <w:spacing w:before="40" w:after="40"/>
              <w:jc w:val="left"/>
              <w:rPr>
                <w:rFonts w:ascii="Times New Roman" w:hAnsi="Times New Roman"/>
                <w:sz w:val="20"/>
                <w:szCs w:val="20"/>
              </w:rPr>
            </w:pPr>
            <w:r w:rsidRPr="00174155">
              <w:rPr>
                <w:rFonts w:ascii="Times New Roman" w:hAnsi="Times New Roman"/>
                <w:sz w:val="20"/>
                <w:szCs w:val="20"/>
              </w:rPr>
              <w:t>Involvement in adverse media</w:t>
            </w:r>
          </w:p>
          <w:p w14:paraId="0A8E8F6C" w14:textId="77777777" w:rsidR="00895D12" w:rsidRPr="00174155" w:rsidRDefault="00895D12" w:rsidP="003B05F6">
            <w:pPr>
              <w:keepNext/>
              <w:spacing w:before="40" w:after="40"/>
              <w:jc w:val="left"/>
              <w:rPr>
                <w:rFonts w:ascii="Times New Roman" w:hAnsi="Times New Roman"/>
                <w:sz w:val="20"/>
                <w:szCs w:val="20"/>
              </w:rPr>
            </w:pPr>
            <w:r w:rsidRPr="00F23482">
              <w:rPr>
                <w:rFonts w:ascii="Times New Roman" w:hAnsi="Times New Roman"/>
                <w:sz w:val="20"/>
                <w:szCs w:val="20"/>
              </w:rPr>
              <w:t>Newly created company</w:t>
            </w:r>
          </w:p>
          <w:p w14:paraId="1A20EAC5" w14:textId="77777777" w:rsidR="00895D12" w:rsidRPr="00174155" w:rsidRDefault="00895D12" w:rsidP="003B05F6">
            <w:pPr>
              <w:keepNext/>
              <w:spacing w:before="40" w:after="40"/>
              <w:jc w:val="left"/>
              <w:rPr>
                <w:rFonts w:ascii="Times New Roman" w:hAnsi="Times New Roman"/>
                <w:sz w:val="20"/>
                <w:szCs w:val="20"/>
              </w:rPr>
            </w:pPr>
            <w:r w:rsidRPr="00174155">
              <w:rPr>
                <w:rFonts w:ascii="Times New Roman" w:hAnsi="Times New Roman"/>
                <w:sz w:val="20"/>
                <w:szCs w:val="20"/>
              </w:rPr>
              <w:t>New owners/directors</w:t>
            </w:r>
          </w:p>
          <w:p w14:paraId="7BDB3472" w14:textId="77777777" w:rsidR="00895D12" w:rsidRPr="00174155" w:rsidRDefault="00895D12" w:rsidP="003B05F6">
            <w:pPr>
              <w:keepNext/>
              <w:spacing w:before="40" w:after="40"/>
              <w:jc w:val="left"/>
              <w:rPr>
                <w:rFonts w:ascii="Times New Roman" w:hAnsi="Times New Roman"/>
                <w:sz w:val="20"/>
                <w:szCs w:val="20"/>
              </w:rPr>
            </w:pPr>
            <w:r w:rsidRPr="00174155">
              <w:rPr>
                <w:rFonts w:ascii="Times New Roman" w:hAnsi="Times New Roman"/>
                <w:sz w:val="20"/>
                <w:szCs w:val="20"/>
              </w:rPr>
              <w:t>Activity changes</w:t>
            </w:r>
          </w:p>
        </w:tc>
      </w:tr>
      <w:tr w:rsidR="00895D12" w:rsidRPr="00174155" w14:paraId="5E6CB00F" w14:textId="77777777" w:rsidTr="003B05F6">
        <w:tc>
          <w:tcPr>
            <w:tcW w:w="1361" w:type="dxa"/>
          </w:tcPr>
          <w:p w14:paraId="4B8DA148" w14:textId="77777777" w:rsidR="00895D12" w:rsidRPr="00174155" w:rsidRDefault="00895D12" w:rsidP="003B05F6">
            <w:pPr>
              <w:keepNext/>
              <w:spacing w:before="40" w:after="40"/>
              <w:rPr>
                <w:rFonts w:ascii="Times New Roman" w:hAnsi="Times New Roman"/>
                <w:sz w:val="20"/>
                <w:szCs w:val="20"/>
              </w:rPr>
            </w:pPr>
            <w:r w:rsidRPr="00174155">
              <w:rPr>
                <w:rFonts w:ascii="Times New Roman" w:hAnsi="Times New Roman"/>
                <w:sz w:val="20"/>
                <w:szCs w:val="20"/>
              </w:rPr>
              <w:t>Double funding</w:t>
            </w:r>
          </w:p>
        </w:tc>
        <w:tc>
          <w:tcPr>
            <w:tcW w:w="1350" w:type="dxa"/>
          </w:tcPr>
          <w:p w14:paraId="137128B7" w14:textId="77777777" w:rsidR="00895D12" w:rsidRPr="00174155" w:rsidRDefault="00895D12" w:rsidP="003B05F6">
            <w:pPr>
              <w:keepNext/>
              <w:spacing w:before="40" w:after="40"/>
              <w:jc w:val="left"/>
              <w:rPr>
                <w:rFonts w:ascii="Times New Roman" w:hAnsi="Times New Roman"/>
                <w:sz w:val="20"/>
                <w:szCs w:val="20"/>
              </w:rPr>
            </w:pPr>
            <w:r w:rsidRPr="00174155">
              <w:rPr>
                <w:rFonts w:ascii="Times New Roman" w:hAnsi="Times New Roman"/>
                <w:sz w:val="20"/>
                <w:szCs w:val="20"/>
              </w:rPr>
              <w:t>Concentration risk</w:t>
            </w:r>
          </w:p>
        </w:tc>
        <w:tc>
          <w:tcPr>
            <w:tcW w:w="4093" w:type="dxa"/>
          </w:tcPr>
          <w:p w14:paraId="7733BAFC" w14:textId="77777777" w:rsidR="00895D12" w:rsidRPr="00174155" w:rsidRDefault="00895D12" w:rsidP="003B05F6">
            <w:pPr>
              <w:keepNext/>
              <w:spacing w:before="40" w:after="40"/>
              <w:jc w:val="left"/>
              <w:rPr>
                <w:rFonts w:ascii="Times New Roman" w:hAnsi="Times New Roman"/>
                <w:sz w:val="20"/>
                <w:szCs w:val="20"/>
              </w:rPr>
            </w:pPr>
            <w:r w:rsidRPr="00174155">
              <w:rPr>
                <w:rFonts w:ascii="Times New Roman" w:hAnsi="Times New Roman"/>
                <w:sz w:val="20"/>
                <w:szCs w:val="20"/>
              </w:rPr>
              <w:t>Beneficiaries involved in multiple projects</w:t>
            </w:r>
          </w:p>
          <w:p w14:paraId="169952D4" w14:textId="77777777" w:rsidR="00895D12" w:rsidRPr="00174155" w:rsidRDefault="00895D12" w:rsidP="003B05F6">
            <w:pPr>
              <w:keepNext/>
              <w:spacing w:before="40" w:after="40"/>
              <w:jc w:val="left"/>
              <w:rPr>
                <w:rFonts w:ascii="Times New Roman" w:hAnsi="Times New Roman"/>
                <w:sz w:val="20"/>
                <w:szCs w:val="20"/>
              </w:rPr>
            </w:pPr>
            <w:r w:rsidRPr="00174155">
              <w:rPr>
                <w:rFonts w:ascii="Times New Roman" w:hAnsi="Times New Roman"/>
                <w:sz w:val="20"/>
                <w:szCs w:val="20"/>
              </w:rPr>
              <w:t xml:space="preserve">Beneficiaries involved in multiple </w:t>
            </w:r>
            <w:r w:rsidR="00A40D69" w:rsidRPr="00174155">
              <w:rPr>
                <w:rFonts w:ascii="Times New Roman" w:hAnsi="Times New Roman"/>
                <w:sz w:val="20"/>
                <w:szCs w:val="20"/>
              </w:rPr>
              <w:t>O</w:t>
            </w:r>
            <w:r w:rsidR="00A40D69">
              <w:rPr>
                <w:rFonts w:ascii="Times New Roman" w:hAnsi="Times New Roman"/>
                <w:sz w:val="20"/>
                <w:szCs w:val="20"/>
              </w:rPr>
              <w:t>perational Programmes (OP)</w:t>
            </w:r>
            <w:r w:rsidRPr="00174155">
              <w:rPr>
                <w:rFonts w:ascii="Times New Roman" w:hAnsi="Times New Roman"/>
                <w:sz w:val="20"/>
                <w:szCs w:val="20"/>
              </w:rPr>
              <w:t xml:space="preserve">  Partners involved in multiple projects</w:t>
            </w:r>
            <w:r w:rsidR="0045694B">
              <w:rPr>
                <w:rStyle w:val="FootnoteReference"/>
                <w:rFonts w:ascii="Times New Roman" w:hAnsi="Times New Roman"/>
                <w:sz w:val="20"/>
                <w:szCs w:val="20"/>
              </w:rPr>
              <w:footnoteReference w:id="3"/>
            </w:r>
          </w:p>
          <w:p w14:paraId="130B5D78" w14:textId="77777777" w:rsidR="00895D12" w:rsidRPr="00174155" w:rsidRDefault="00895D12" w:rsidP="003B05F6">
            <w:pPr>
              <w:keepNext/>
              <w:spacing w:before="40" w:after="40"/>
              <w:jc w:val="left"/>
              <w:rPr>
                <w:rFonts w:ascii="Times New Roman" w:hAnsi="Times New Roman"/>
                <w:sz w:val="20"/>
                <w:szCs w:val="20"/>
              </w:rPr>
            </w:pPr>
            <w:r w:rsidRPr="00174155">
              <w:rPr>
                <w:rFonts w:ascii="Times New Roman" w:hAnsi="Times New Roman"/>
                <w:sz w:val="20"/>
                <w:szCs w:val="20"/>
              </w:rPr>
              <w:t>Partners involved in multiple OPs</w:t>
            </w:r>
          </w:p>
          <w:p w14:paraId="360D7EE4" w14:textId="77777777" w:rsidR="00895D12" w:rsidRPr="00174155" w:rsidRDefault="00895D12" w:rsidP="003B05F6">
            <w:pPr>
              <w:keepNext/>
              <w:spacing w:before="40" w:after="40"/>
              <w:jc w:val="left"/>
              <w:rPr>
                <w:rFonts w:ascii="Times New Roman" w:hAnsi="Times New Roman"/>
                <w:sz w:val="20"/>
                <w:szCs w:val="20"/>
              </w:rPr>
            </w:pPr>
            <w:r w:rsidRPr="00174155">
              <w:rPr>
                <w:rFonts w:ascii="Times New Roman" w:hAnsi="Times New Roman"/>
                <w:sz w:val="20"/>
                <w:szCs w:val="20"/>
              </w:rPr>
              <w:t>Contractors involved in multiple projects</w:t>
            </w:r>
          </w:p>
          <w:p w14:paraId="3EC9B071" w14:textId="77777777" w:rsidR="00895D12" w:rsidRPr="00174155" w:rsidRDefault="00895D12" w:rsidP="003B05F6">
            <w:pPr>
              <w:keepNext/>
              <w:spacing w:before="40" w:after="40"/>
              <w:jc w:val="left"/>
              <w:rPr>
                <w:rFonts w:ascii="Times New Roman" w:hAnsi="Times New Roman"/>
                <w:sz w:val="20"/>
                <w:szCs w:val="20"/>
              </w:rPr>
            </w:pPr>
            <w:r w:rsidRPr="00174155">
              <w:rPr>
                <w:rFonts w:ascii="Times New Roman" w:hAnsi="Times New Roman"/>
                <w:sz w:val="20"/>
                <w:szCs w:val="20"/>
              </w:rPr>
              <w:t>Contractors involved in multiple projects of the beneficiary</w:t>
            </w:r>
          </w:p>
          <w:p w14:paraId="5A82C10E" w14:textId="77777777" w:rsidR="00895D12" w:rsidRPr="00174155" w:rsidRDefault="00895D12" w:rsidP="003B05F6">
            <w:pPr>
              <w:keepNext/>
              <w:spacing w:before="40" w:after="40"/>
              <w:jc w:val="left"/>
              <w:rPr>
                <w:rFonts w:ascii="Times New Roman" w:hAnsi="Times New Roman"/>
                <w:sz w:val="20"/>
                <w:szCs w:val="20"/>
              </w:rPr>
            </w:pPr>
            <w:r w:rsidRPr="00174155">
              <w:rPr>
                <w:rFonts w:ascii="Times New Roman" w:hAnsi="Times New Roman"/>
                <w:sz w:val="20"/>
                <w:szCs w:val="20"/>
              </w:rPr>
              <w:t>Contractors involved in multiple OPs</w:t>
            </w:r>
          </w:p>
          <w:p w14:paraId="65352667" w14:textId="77777777" w:rsidR="00895D12" w:rsidRPr="00174155" w:rsidRDefault="00895D12" w:rsidP="003B05F6">
            <w:pPr>
              <w:keepNext/>
              <w:spacing w:before="40" w:after="40"/>
              <w:jc w:val="left"/>
              <w:rPr>
                <w:rFonts w:ascii="Times New Roman" w:hAnsi="Times New Roman"/>
                <w:sz w:val="20"/>
                <w:szCs w:val="20"/>
              </w:rPr>
            </w:pPr>
            <w:r w:rsidRPr="00174155">
              <w:rPr>
                <w:rFonts w:ascii="Times New Roman" w:hAnsi="Times New Roman"/>
                <w:sz w:val="20"/>
                <w:szCs w:val="20"/>
              </w:rPr>
              <w:t>Consortium members involved in multiple projects</w:t>
            </w:r>
          </w:p>
          <w:p w14:paraId="430F21F9" w14:textId="77777777" w:rsidR="00895D12" w:rsidRPr="00174155" w:rsidRDefault="00895D12" w:rsidP="003B05F6">
            <w:pPr>
              <w:keepNext/>
              <w:spacing w:before="40" w:after="40"/>
              <w:jc w:val="left"/>
              <w:rPr>
                <w:rFonts w:ascii="Times New Roman" w:hAnsi="Times New Roman"/>
                <w:sz w:val="20"/>
                <w:szCs w:val="20"/>
              </w:rPr>
            </w:pPr>
            <w:r w:rsidRPr="00174155">
              <w:rPr>
                <w:rFonts w:ascii="Times New Roman" w:hAnsi="Times New Roman"/>
                <w:sz w:val="20"/>
                <w:szCs w:val="20"/>
              </w:rPr>
              <w:t>SubContractors involved in multiple projects</w:t>
            </w:r>
          </w:p>
        </w:tc>
        <w:tc>
          <w:tcPr>
            <w:tcW w:w="2977" w:type="dxa"/>
          </w:tcPr>
          <w:p w14:paraId="36971E28" w14:textId="77777777" w:rsidR="00895D12" w:rsidRPr="00174155" w:rsidRDefault="00895D12" w:rsidP="003B05F6">
            <w:pPr>
              <w:keepNext/>
              <w:spacing w:before="40" w:after="40"/>
              <w:rPr>
                <w:rFonts w:ascii="Times New Roman" w:hAnsi="Times New Roman"/>
                <w:sz w:val="20"/>
                <w:szCs w:val="20"/>
              </w:rPr>
            </w:pPr>
          </w:p>
        </w:tc>
      </w:tr>
    </w:tbl>
    <w:p w14:paraId="0AAB0CE3" w14:textId="77777777" w:rsidR="00C34914" w:rsidRDefault="0045037B" w:rsidP="004674D8">
      <w:r>
        <w:t xml:space="preserve"> </w:t>
      </w:r>
    </w:p>
    <w:p w14:paraId="5F1A2758" w14:textId="77777777" w:rsidR="0045037B" w:rsidRDefault="00C34914" w:rsidP="004674D8">
      <w:r>
        <w:t xml:space="preserve">The risk categories (e.g. Concentration risk, Reputational and fraud alerts…) combine a set of coherent risk indicators and define the risk scoring for that particular risk category. </w:t>
      </w:r>
      <w:r>
        <w:lastRenderedPageBreak/>
        <w:t>Later on, all risk category scores are combined to provide the scoring for the project/beneficiary/contractor/contract, where applicable</w:t>
      </w:r>
    </w:p>
    <w:p w14:paraId="096454BB" w14:textId="77777777" w:rsidR="008A6FE5" w:rsidRDefault="006E3E12" w:rsidP="004674D8">
      <w:r>
        <w:t>For</w:t>
      </w:r>
      <w:r w:rsidR="00081CAC">
        <w:t xml:space="preserve"> each </w:t>
      </w:r>
      <w:r w:rsidR="002B06A1">
        <w:t xml:space="preserve">of the </w:t>
      </w:r>
      <w:r w:rsidR="00081CAC">
        <w:t xml:space="preserve">serious </w:t>
      </w:r>
      <w:r w:rsidR="00081CAC" w:rsidRPr="00B002CB">
        <w:t>irregularit</w:t>
      </w:r>
      <w:r w:rsidR="008043BE">
        <w:t>ies</w:t>
      </w:r>
      <w:r w:rsidRPr="00B002CB">
        <w:t>, there is an associated project risk category that is linked to it</w:t>
      </w:r>
      <w:r w:rsidR="0076183E">
        <w:t xml:space="preserve"> and</w:t>
      </w:r>
      <w:r w:rsidR="008043BE">
        <w:t xml:space="preserve"> an a</w:t>
      </w:r>
      <w:r w:rsidR="00081CAC" w:rsidRPr="00B002CB">
        <w:t xml:space="preserve">ssociated </w:t>
      </w:r>
      <w:r w:rsidRPr="00B002CB">
        <w:t xml:space="preserve">project </w:t>
      </w:r>
      <w:r w:rsidR="0045694B">
        <w:t>risk indicator</w:t>
      </w:r>
      <w:r w:rsidRPr="00B002CB">
        <w:t>.</w:t>
      </w:r>
      <w:r w:rsidR="00081CAC" w:rsidRPr="00B002CB">
        <w:t xml:space="preserve"> The </w:t>
      </w:r>
      <w:r w:rsidR="00D72091" w:rsidRPr="00B002CB">
        <w:t xml:space="preserve">key </w:t>
      </w:r>
      <w:r w:rsidR="00081CAC" w:rsidRPr="00B002CB">
        <w:t xml:space="preserve">project risk </w:t>
      </w:r>
      <w:r w:rsidR="0045694B">
        <w:t>indicators</w:t>
      </w:r>
      <w:r w:rsidR="00081CAC" w:rsidRPr="00B002CB">
        <w:t xml:space="preserve"> </w:t>
      </w:r>
      <w:r w:rsidR="0045037B">
        <w:t>are those that are the most relevant from the detection of a specific serious irregularities.</w:t>
      </w:r>
    </w:p>
    <w:p w14:paraId="691343C7" w14:textId="77777777" w:rsidR="00317A77" w:rsidRDefault="00317A77" w:rsidP="00A65B36">
      <w:pPr>
        <w:keepNext/>
        <w:rPr>
          <w:u w:val="single"/>
        </w:rPr>
      </w:pPr>
      <w:r w:rsidRPr="00317A77">
        <w:rPr>
          <w:u w:val="single"/>
        </w:rPr>
        <w:t>Conflict of interest</w:t>
      </w:r>
    </w:p>
    <w:p w14:paraId="231C0BD3" w14:textId="6F1DF1A8" w:rsidR="00317A77" w:rsidRPr="00317A77" w:rsidRDefault="0045037B" w:rsidP="00A65B36">
      <w:r>
        <w:t xml:space="preserve">Arachne provides </w:t>
      </w:r>
      <w:r w:rsidR="00DC75DD">
        <w:t xml:space="preserve">assistance to national authorities for the detection of conflicts of interests by showing the links between </w:t>
      </w:r>
      <w:r w:rsidR="00317A77" w:rsidRPr="00317A77">
        <w:t>beneficiaries</w:t>
      </w:r>
      <w:r w:rsidR="00DC75DD">
        <w:t>,</w:t>
      </w:r>
      <w:r w:rsidR="00317A77" w:rsidRPr="00317A77">
        <w:t xml:space="preserve"> project partners</w:t>
      </w:r>
      <w:r w:rsidR="00DC75DD">
        <w:t>,</w:t>
      </w:r>
      <w:r w:rsidR="00317A77">
        <w:t xml:space="preserve"> </w:t>
      </w:r>
      <w:r w:rsidR="00317A77" w:rsidRPr="00317A77">
        <w:t>contractors</w:t>
      </w:r>
      <w:r w:rsidR="00DC75DD">
        <w:t>,</w:t>
      </w:r>
      <w:r w:rsidR="00317A77" w:rsidRPr="00317A77">
        <w:t xml:space="preserve"> subcontractors</w:t>
      </w:r>
      <w:r w:rsidR="00DC75DD">
        <w:t xml:space="preserve"> and </w:t>
      </w:r>
      <w:r w:rsidR="007B16A2">
        <w:t>c</w:t>
      </w:r>
      <w:r w:rsidR="00317A77" w:rsidRPr="00317A77">
        <w:t>onsortium members</w:t>
      </w:r>
      <w:r w:rsidR="00DC75DD">
        <w:t>.</w:t>
      </w:r>
      <w:r w:rsidR="00317A77" w:rsidRPr="00317A77">
        <w:t xml:space="preserve"> It </w:t>
      </w:r>
      <w:r w:rsidR="00DC75DD">
        <w:t xml:space="preserve">shows </w:t>
      </w:r>
      <w:r w:rsidR="00317A77" w:rsidRPr="00317A77">
        <w:t>legal links (between companies) and private links (between companies and related people).</w:t>
      </w:r>
      <w:r w:rsidR="00DC75DD" w:rsidRPr="00317A77" w:rsidDel="00DC75DD">
        <w:t xml:space="preserve"> </w:t>
      </w:r>
      <w:r w:rsidR="007B16A2">
        <w:t>Important</w:t>
      </w:r>
      <w:r w:rsidR="00C34914">
        <w:t xml:space="preserve"> links between the public authority and the beneficiary/contractor/subcontractor </w:t>
      </w:r>
      <w:r w:rsidR="007B16A2">
        <w:t>can be</w:t>
      </w:r>
      <w:r w:rsidR="00C34914">
        <w:t xml:space="preserve"> identified </w:t>
      </w:r>
      <w:r w:rsidR="007B16A2">
        <w:t xml:space="preserve">by Arachne </w:t>
      </w:r>
      <w:r w:rsidR="00C34914">
        <w:t xml:space="preserve">through </w:t>
      </w:r>
      <w:r w:rsidR="007B16A2">
        <w:t xml:space="preserve">use of </w:t>
      </w:r>
      <w:r w:rsidR="00C34914">
        <w:t>the database on Politically Exposed Persons (PEP).</w:t>
      </w:r>
    </w:p>
    <w:p w14:paraId="05FE7207" w14:textId="77777777" w:rsidR="00DC75DD" w:rsidRPr="00317A77" w:rsidRDefault="00DC75DD" w:rsidP="00EA6023">
      <w:r>
        <w:t>It also</w:t>
      </w:r>
      <w:r w:rsidRPr="00317A77">
        <w:t xml:space="preserve"> </w:t>
      </w:r>
      <w:r w:rsidR="00317A77" w:rsidRPr="00317A77">
        <w:t>identifies the projects for which there is related company or person which is listed as Politically Exposed Person in the WorldCompliance database. PEPs are persons who are exposed to particular risks because of the (political, judicial or administrative) prominent public functions they hold or have held. The check is performed (i) for each beneficiary, project partner, contractor, subcontractor and consortium member linked to the project/contract, (ii) for each management member of these companies and (iii) for each involved person and key expert linked to the project/contract.</w:t>
      </w:r>
    </w:p>
    <w:p w14:paraId="0D6917E4" w14:textId="77777777" w:rsidR="00826EBC" w:rsidRDefault="00826EBC" w:rsidP="00EA6023">
      <w:pPr>
        <w:keepNext/>
        <w:rPr>
          <w:u w:val="single"/>
        </w:rPr>
      </w:pPr>
      <w:r w:rsidRPr="00317A77">
        <w:rPr>
          <w:u w:val="single"/>
        </w:rPr>
        <w:t>Fraud and Corruption</w:t>
      </w:r>
    </w:p>
    <w:p w14:paraId="13C632CA" w14:textId="77777777" w:rsidR="00DC75DD" w:rsidRPr="00EA6023" w:rsidRDefault="00DC75DD" w:rsidP="00DC75DD">
      <w:r>
        <w:t>Arachne can contribute to the detection of fraud and corruption by drawing the attention of the authorities to a number of elements.</w:t>
      </w:r>
    </w:p>
    <w:p w14:paraId="35972243" w14:textId="77777777" w:rsidR="00826EBC" w:rsidRPr="00317A77" w:rsidRDefault="00826EBC" w:rsidP="00317A77">
      <w:pPr>
        <w:pStyle w:val="ListParagraph"/>
        <w:numPr>
          <w:ilvl w:val="0"/>
          <w:numId w:val="45"/>
        </w:numPr>
        <w:ind w:left="284" w:hanging="294"/>
      </w:pPr>
      <w:r w:rsidRPr="00317A77">
        <w:t>Beneficiaries with invalid VAT number</w:t>
      </w:r>
      <w:r w:rsidR="00754CBC" w:rsidRPr="00317A77">
        <w:t xml:space="preserve">: This check will validate the beneficiary VAT number through a 'structure check' and through the VIES web service of the Commission. </w:t>
      </w:r>
    </w:p>
    <w:p w14:paraId="020A24A2" w14:textId="77777777" w:rsidR="00826EBC" w:rsidRPr="00317A77" w:rsidRDefault="00826EBC" w:rsidP="00317A77">
      <w:pPr>
        <w:pStyle w:val="ListParagraph"/>
        <w:numPr>
          <w:ilvl w:val="0"/>
          <w:numId w:val="45"/>
        </w:numPr>
        <w:ind w:left="284" w:hanging="294"/>
      </w:pPr>
      <w:r w:rsidRPr="00317A77">
        <w:t>Registration of multiple companies on same address</w:t>
      </w:r>
      <w:r w:rsidR="00237F65" w:rsidRPr="00317A77">
        <w:t xml:space="preserve">: This indicator will identify projects for which there is </w:t>
      </w:r>
      <w:r w:rsidR="00E22C67">
        <w:t xml:space="preserve">a </w:t>
      </w:r>
      <w:r w:rsidR="00237F65" w:rsidRPr="00317A77">
        <w:t xml:space="preserve">related company (beneficiary, project partner, contractor or consortium member) with an address on which multiple other companies are registered. This is an indicator to prevent fraud in case letterbox companies are created </w:t>
      </w:r>
      <w:r w:rsidR="00934702">
        <w:t>to</w:t>
      </w:r>
      <w:r w:rsidR="00237F65" w:rsidRPr="00317A77">
        <w:t xml:space="preserve"> conceal the true identity of the owner or owners.</w:t>
      </w:r>
    </w:p>
    <w:p w14:paraId="5A2C087B" w14:textId="77777777" w:rsidR="00826EBC" w:rsidRPr="00317A77" w:rsidRDefault="00826EBC" w:rsidP="00317A77">
      <w:pPr>
        <w:pStyle w:val="ListParagraph"/>
        <w:numPr>
          <w:ilvl w:val="0"/>
          <w:numId w:val="45"/>
        </w:numPr>
        <w:ind w:left="284" w:hanging="294"/>
      </w:pPr>
      <w:r w:rsidRPr="00317A77">
        <w:t>Inconsistent activities</w:t>
      </w:r>
      <w:r w:rsidR="00237F65" w:rsidRPr="00317A77">
        <w:t xml:space="preserve">: This will identify projects for which there is </w:t>
      </w:r>
      <w:r w:rsidR="00E22C67">
        <w:t xml:space="preserve">a </w:t>
      </w:r>
      <w:r w:rsidR="00237F65" w:rsidRPr="00317A77">
        <w:t xml:space="preserve">related company (beneficiary, project partner, contractor or consortium member) that is involved in many </w:t>
      </w:r>
      <w:r w:rsidR="008478AC" w:rsidRPr="00317A77">
        <w:t xml:space="preserve">different </w:t>
      </w:r>
      <w:r w:rsidR="00237F65" w:rsidRPr="00317A77">
        <w:t xml:space="preserve">activity sectors. </w:t>
      </w:r>
      <w:r w:rsidR="008478AC" w:rsidRPr="00317A77">
        <w:t xml:space="preserve">For instance, </w:t>
      </w:r>
      <w:r w:rsidR="00237F65" w:rsidRPr="00317A77">
        <w:t>a company registered as active in the sector of import/export that now implements a construction project</w:t>
      </w:r>
      <w:r w:rsidR="008478AC" w:rsidRPr="00317A77">
        <w:t xml:space="preserve"> under the RRF could be a signal of </w:t>
      </w:r>
      <w:r w:rsidR="00934702">
        <w:t xml:space="preserve">possible </w:t>
      </w:r>
      <w:r w:rsidR="008478AC" w:rsidRPr="00317A77">
        <w:t>fraud</w:t>
      </w:r>
      <w:r w:rsidR="00237F65" w:rsidRPr="00317A77">
        <w:t>.</w:t>
      </w:r>
    </w:p>
    <w:p w14:paraId="664E4846" w14:textId="77777777" w:rsidR="00826EBC" w:rsidRPr="00317A77" w:rsidRDefault="00826EBC" w:rsidP="00317A77">
      <w:pPr>
        <w:pStyle w:val="ListParagraph"/>
        <w:numPr>
          <w:ilvl w:val="0"/>
          <w:numId w:val="45"/>
        </w:numPr>
        <w:ind w:left="284" w:hanging="294"/>
      </w:pPr>
      <w:r w:rsidRPr="00317A77">
        <w:t>Name or address changes</w:t>
      </w:r>
      <w:r w:rsidR="008478AC" w:rsidRPr="00317A77">
        <w:t xml:space="preserve">: This identifies projects for which there is </w:t>
      </w:r>
      <w:r w:rsidR="00E22C67">
        <w:t xml:space="preserve">a </w:t>
      </w:r>
      <w:r w:rsidR="008478AC" w:rsidRPr="00317A77">
        <w:t>related company (beneficiary, project partner, contractor, sub-contractors or consortium member) for which the address or name has changed in the period starting three years before the start of the project eligibility period/contract and ending at the end of the project eligibility period/contract (or 'now' if the project is still open).</w:t>
      </w:r>
    </w:p>
    <w:p w14:paraId="6437A45B" w14:textId="77777777" w:rsidR="008A6FE5" w:rsidRPr="00317A77" w:rsidRDefault="00826EBC" w:rsidP="00317A77">
      <w:pPr>
        <w:pStyle w:val="ListParagraph"/>
        <w:numPr>
          <w:ilvl w:val="0"/>
          <w:numId w:val="45"/>
        </w:numPr>
        <w:ind w:left="284" w:hanging="294"/>
      </w:pPr>
      <w:r w:rsidRPr="00317A77">
        <w:t>Involvement in sanction</w:t>
      </w:r>
      <w:r w:rsidR="00D6615E" w:rsidRPr="00317A77">
        <w:t xml:space="preserve"> or enforcement</w:t>
      </w:r>
      <w:r w:rsidRPr="00317A77">
        <w:t xml:space="preserve"> lists</w:t>
      </w:r>
      <w:r w:rsidR="00D6615E" w:rsidRPr="00317A77">
        <w:t>:</w:t>
      </w:r>
      <w:r w:rsidR="00D6615E" w:rsidRPr="00D6615E">
        <w:t xml:space="preserve"> </w:t>
      </w:r>
      <w:r w:rsidR="00D6615E" w:rsidRPr="00317A77">
        <w:t xml:space="preserve">The objective of this check is to identify projects for which there is </w:t>
      </w:r>
      <w:r w:rsidR="00E22C67">
        <w:t xml:space="preserve">a </w:t>
      </w:r>
      <w:r w:rsidR="00D6615E" w:rsidRPr="00317A77">
        <w:t>related company or person which is listed in sanction or enforcement lists in the WorldCompliance database.</w:t>
      </w:r>
    </w:p>
    <w:p w14:paraId="45A92BB9" w14:textId="77777777" w:rsidR="007019F8" w:rsidRDefault="007019F8" w:rsidP="00EA6023">
      <w:pPr>
        <w:keepNext/>
        <w:tabs>
          <w:tab w:val="left" w:pos="2145"/>
        </w:tabs>
        <w:rPr>
          <w:u w:val="single"/>
        </w:rPr>
      </w:pPr>
      <w:r w:rsidRPr="00317A77">
        <w:rPr>
          <w:u w:val="single"/>
        </w:rPr>
        <w:lastRenderedPageBreak/>
        <w:t>Double Funding</w:t>
      </w:r>
    </w:p>
    <w:p w14:paraId="05FF2AEF" w14:textId="77777777" w:rsidR="007019F8" w:rsidRPr="00317A77" w:rsidRDefault="00FA1FCD" w:rsidP="00EA6023">
      <w:r>
        <w:t>The RRF regulation does not exclude the use of various EU funds for the same project but prevents the double financing of the same costs. Arachne helps identifying the projects drawing on several EU funds where a potential risk of double funding exists. It shows b</w:t>
      </w:r>
      <w:r w:rsidR="007019F8" w:rsidRPr="00317A77">
        <w:t>eneficiaries</w:t>
      </w:r>
      <w:r>
        <w:t>,</w:t>
      </w:r>
      <w:r w:rsidR="007019F8" w:rsidRPr="00317A77">
        <w:t xml:space="preserve"> contractors</w:t>
      </w:r>
      <w:r>
        <w:t>,</w:t>
      </w:r>
      <w:r w:rsidR="007019F8" w:rsidRPr="00317A77">
        <w:t xml:space="preserve"> subcontractor</w:t>
      </w:r>
      <w:r>
        <w:t>,</w:t>
      </w:r>
      <w:r w:rsidR="007019F8" w:rsidRPr="00317A77">
        <w:t xml:space="preserve"> partners</w:t>
      </w:r>
      <w:r>
        <w:t xml:space="preserve"> and</w:t>
      </w:r>
      <w:r w:rsidR="00E35A48" w:rsidRPr="00317A77">
        <w:t xml:space="preserve"> consortium members</w:t>
      </w:r>
      <w:r w:rsidR="007019F8" w:rsidRPr="00317A77">
        <w:t xml:space="preserve"> involved in multiple </w:t>
      </w:r>
      <w:r w:rsidR="00E35A48" w:rsidRPr="00317A77">
        <w:t>projects</w:t>
      </w:r>
      <w:r>
        <w:t xml:space="preserve"> irrespective of their role in the various projects</w:t>
      </w:r>
      <w:r w:rsidR="007019F8" w:rsidRPr="00317A77">
        <w:t>.</w:t>
      </w:r>
    </w:p>
    <w:p w14:paraId="291EB452" w14:textId="77777777" w:rsidR="007E2427" w:rsidRDefault="00EA6023" w:rsidP="00EA6023">
      <w:pPr>
        <w:pStyle w:val="ListParagraph"/>
        <w:numPr>
          <w:ilvl w:val="0"/>
          <w:numId w:val="23"/>
        </w:numPr>
        <w:rPr>
          <w:b/>
        </w:rPr>
      </w:pPr>
      <w:r w:rsidRPr="00EA6023">
        <w:rPr>
          <w:b/>
        </w:rPr>
        <w:t>Use of the results of the risk scoring</w:t>
      </w:r>
    </w:p>
    <w:p w14:paraId="19F868AF" w14:textId="77777777" w:rsidR="001A2A94" w:rsidRDefault="00454643" w:rsidP="009052B7">
      <w:r>
        <w:t xml:space="preserve">Once data has been </w:t>
      </w:r>
      <w:r w:rsidR="00FE2CD8">
        <w:t xml:space="preserve">entered into and been </w:t>
      </w:r>
      <w:r>
        <w:t xml:space="preserve">processed by the Arachne tool, the </w:t>
      </w:r>
      <w:r w:rsidR="00FE2CD8">
        <w:t xml:space="preserve">responsible authority is </w:t>
      </w:r>
      <w:r w:rsidRPr="009D4FBD">
        <w:t xml:space="preserve">recommended </w:t>
      </w:r>
      <w:r w:rsidR="001A2A94" w:rsidRPr="00F23482">
        <w:rPr>
          <w:b/>
        </w:rPr>
        <w:t>in a first phase</w:t>
      </w:r>
      <w:r w:rsidR="001A2A94">
        <w:t xml:space="preserve"> </w:t>
      </w:r>
      <w:r w:rsidRPr="009D4FBD">
        <w:t>to analyse the results, per risk-indicator, in order to</w:t>
      </w:r>
      <w:r w:rsidR="000342FA">
        <w:t xml:space="preserve"> </w:t>
      </w:r>
      <w:r w:rsidRPr="009D4FBD">
        <w:t xml:space="preserve">assess whether any high number of cases for certain risks point at possible systemic issues. </w:t>
      </w:r>
    </w:p>
    <w:p w14:paraId="69D4D292" w14:textId="77777777" w:rsidR="001A2A94" w:rsidRDefault="0070749A" w:rsidP="0070749A">
      <w:r>
        <w:t>T</w:t>
      </w:r>
      <w:r w:rsidR="00454643" w:rsidRPr="009D4FBD">
        <w:t>he risk scoring could</w:t>
      </w:r>
      <w:r>
        <w:t>, for example,</w:t>
      </w:r>
      <w:r w:rsidR="00454643" w:rsidRPr="009D4FBD">
        <w:t xml:space="preserve"> demonstrate that</w:t>
      </w:r>
      <w:r w:rsidR="001A2A94">
        <w:t>, despite self-declarations by applicants stating that no other funding is received, the risk score shows that beneficiaries participate in multiple research projects in multiple Operational Programmes (even in different Member States) under the Cohesion policy. The analysis of the results could thus point at inaccuracies of these self-declarations which may merit scrutiny, e.g. with the relevant Operational Programme authorities.</w:t>
      </w:r>
      <w:r>
        <w:t xml:space="preserve"> These type of verifications could point out systemic issues in the application assessment process and would require possible amendments.  </w:t>
      </w:r>
    </w:p>
    <w:p w14:paraId="05934602" w14:textId="77777777" w:rsidR="00E67A20" w:rsidRDefault="00E67A20" w:rsidP="00E67A20">
      <w:r w:rsidRPr="00F23482">
        <w:rPr>
          <w:b/>
        </w:rPr>
        <w:t>In a second phase,</w:t>
      </w:r>
      <w:r>
        <w:t xml:space="preserve"> after the overall analysis of the results, projects/beneficiaries may be checked for the presence of high scoring risk indicators. It is recommended that </w:t>
      </w:r>
      <w:r w:rsidRPr="00F23482">
        <w:rPr>
          <w:u w:val="single"/>
        </w:rPr>
        <w:t xml:space="preserve">the ‘key risk indicators’ as listed in the table above </w:t>
      </w:r>
      <w:r w:rsidR="00793FCC">
        <w:rPr>
          <w:u w:val="single"/>
        </w:rPr>
        <w:t>are</w:t>
      </w:r>
      <w:r w:rsidRPr="00F23482">
        <w:rPr>
          <w:u w:val="single"/>
        </w:rPr>
        <w:t xml:space="preserve"> verified, should they yield high scores</w:t>
      </w:r>
      <w:r>
        <w:t>. The reason being that these risk indicators point directly either at the presence of high risk, e.g. links between beneficiaries and contractors, or point at historic risky behaviour of beneficiaries/directors/mandate holders etc. which may require a prudent approach towards e.g. the payment of (large) advances.</w:t>
      </w:r>
    </w:p>
    <w:p w14:paraId="7DF15CBE" w14:textId="77777777" w:rsidR="00E67A20" w:rsidRDefault="00E67A20" w:rsidP="00E67A20">
      <w:r>
        <w:t xml:space="preserve">As to what concerns the red flags generated by the ‘secondary risk indicators’, </w:t>
      </w:r>
      <w:r w:rsidR="00A9293A">
        <w:t>the Commission</w:t>
      </w:r>
      <w:r>
        <w:t xml:space="preserve"> recommend</w:t>
      </w:r>
      <w:r w:rsidR="00A9293A">
        <w:t>s</w:t>
      </w:r>
      <w:r>
        <w:t xml:space="preserve"> that </w:t>
      </w:r>
      <w:r w:rsidRPr="00F23482">
        <w:t xml:space="preserve">even if </w:t>
      </w:r>
      <w:r>
        <w:t>there are no key risk indicators red-flagged,</w:t>
      </w:r>
      <w:r w:rsidR="00A9293A">
        <w:t xml:space="preserve"> the project should be closely verified</w:t>
      </w:r>
      <w:r>
        <w:t xml:space="preserve"> when 4 or more </w:t>
      </w:r>
      <w:r w:rsidRPr="00F23482">
        <w:t>secondary risk</w:t>
      </w:r>
      <w:r>
        <w:t xml:space="preserve"> indicators are red-flagged. </w:t>
      </w:r>
    </w:p>
    <w:p w14:paraId="2F7FD0B2" w14:textId="77777777" w:rsidR="0019483A" w:rsidRDefault="0019483A" w:rsidP="00E35A48"/>
    <w:p w14:paraId="55761740" w14:textId="77777777" w:rsidR="0019483A" w:rsidRDefault="0019483A" w:rsidP="00450F38"/>
    <w:p w14:paraId="2E66E33E" w14:textId="77777777" w:rsidR="001202C3" w:rsidRDefault="001202C3" w:rsidP="001202C3">
      <w:pPr>
        <w:rPr>
          <w:lang w:val="en-US"/>
        </w:rPr>
      </w:pPr>
      <w:r w:rsidRPr="00701BFE">
        <w:rPr>
          <w:lang w:val="en-US"/>
        </w:rPr>
        <w:t xml:space="preserve">By flagging possible risks, Arachne can </w:t>
      </w:r>
      <w:r>
        <w:rPr>
          <w:lang w:val="en-US"/>
        </w:rPr>
        <w:t xml:space="preserve">help </w:t>
      </w:r>
      <w:r w:rsidRPr="00701BFE">
        <w:rPr>
          <w:lang w:val="en-US"/>
        </w:rPr>
        <w:t>National authorities</w:t>
      </w:r>
      <w:r>
        <w:rPr>
          <w:lang w:val="en-US"/>
        </w:rPr>
        <w:t xml:space="preserve"> in performing their controls and audits for the implementation of the RRF. </w:t>
      </w:r>
      <w:r w:rsidRPr="00701BFE">
        <w:rPr>
          <w:lang w:val="en-US"/>
        </w:rPr>
        <w:t>However, it does not supply with any proof of error, irregularity or fraud. Arachne does not aim at assessing the particular individual conduct of fund recipients and does not as such serve to exclude automatically any beneficiaries from the funding.</w:t>
      </w:r>
      <w:r w:rsidR="00446CA7">
        <w:rPr>
          <w:lang w:val="en-US"/>
        </w:rPr>
        <w:t xml:space="preserve"> </w:t>
      </w:r>
      <w:r w:rsidR="00446CA7">
        <w:t>The risk scoring cannot and should not lead to any automated decisions of exclusion or elimination of projects or beneficiaries.</w:t>
      </w:r>
    </w:p>
    <w:p w14:paraId="3C289811" w14:textId="77777777" w:rsidR="001202C3" w:rsidRDefault="001202C3" w:rsidP="001202C3">
      <w:pPr>
        <w:rPr>
          <w:lang w:val="en-US"/>
        </w:rPr>
      </w:pPr>
      <w:r>
        <w:t xml:space="preserve">Member States are free to set their own parameters in line with e.g. their fraud risk assessment analysis and their internal management and control procedures. </w:t>
      </w:r>
      <w:r w:rsidRPr="00F23482">
        <w:t>Depending on the nature of the risk identified, the Member State needs to organise the appropriate checks.</w:t>
      </w:r>
    </w:p>
    <w:p w14:paraId="7C5E9625" w14:textId="77777777" w:rsidR="001202C3" w:rsidRDefault="001202C3" w:rsidP="001202C3">
      <w:pPr>
        <w:rPr>
          <w:lang w:val="en-US"/>
        </w:rPr>
      </w:pPr>
      <w:r>
        <w:rPr>
          <w:lang w:val="en-US"/>
        </w:rPr>
        <w:lastRenderedPageBreak/>
        <w:t>The use of the results of Arachne will depend on the stage of the implementation.</w:t>
      </w:r>
    </w:p>
    <w:p w14:paraId="53B2FEB4" w14:textId="77777777" w:rsidR="001202C3" w:rsidRDefault="001202C3" w:rsidP="001202C3">
      <w:pPr>
        <w:rPr>
          <w:lang w:val="en-US"/>
        </w:rPr>
      </w:pPr>
      <w:r>
        <w:rPr>
          <w:lang w:val="en-US"/>
        </w:rPr>
        <w:t xml:space="preserve">When Arachne is used </w:t>
      </w:r>
      <w:r w:rsidRPr="00701BFE">
        <w:rPr>
          <w:b/>
          <w:lang w:val="en-US"/>
        </w:rPr>
        <w:t>for the selection of beneficiaries or before the signature of a contract</w:t>
      </w:r>
      <w:r>
        <w:rPr>
          <w:lang w:val="en-US"/>
        </w:rPr>
        <w:t xml:space="preserve">, </w:t>
      </w:r>
      <w:r w:rsidR="00450F38">
        <w:t>t</w:t>
      </w:r>
      <w:r w:rsidR="00450F38" w:rsidRPr="008546F8">
        <w:t xml:space="preserve">he presence of a </w:t>
      </w:r>
      <w:r w:rsidR="00450F38">
        <w:t xml:space="preserve">high risk score or </w:t>
      </w:r>
      <w:r w:rsidR="00450F38" w:rsidRPr="008546F8">
        <w:t>red flag does not prohibit signing the contract</w:t>
      </w:r>
      <w:r w:rsidR="00450F38">
        <w:t xml:space="preserve"> but can provide important information to help guide preventive/corrective measures</w:t>
      </w:r>
      <w:r w:rsidR="00450F38" w:rsidRPr="008546F8">
        <w:t>.</w:t>
      </w:r>
      <w:r>
        <w:rPr>
          <w:lang w:val="en-US"/>
        </w:rPr>
        <w:t xml:space="preserve"> Where for example, Arachne highlights that the beneficiary is receiving substantial funding from other EU funds for the same project, the authority may want to obtain more explanations on the costs financed through the different instruments.</w:t>
      </w:r>
      <w:r w:rsidR="00A90A8E">
        <w:rPr>
          <w:lang w:val="en-US"/>
        </w:rPr>
        <w:t xml:space="preserve"> </w:t>
      </w:r>
    </w:p>
    <w:p w14:paraId="14E22393" w14:textId="77777777" w:rsidR="00450F38" w:rsidRDefault="00450F38" w:rsidP="00450F38"/>
    <w:p w14:paraId="427B6C42" w14:textId="77777777" w:rsidR="00450F38" w:rsidRDefault="00450F38" w:rsidP="00450F38"/>
    <w:p w14:paraId="13F5001D" w14:textId="77777777" w:rsidR="00450F38" w:rsidRPr="00EA6023" w:rsidRDefault="00450F38" w:rsidP="001202C3"/>
    <w:p w14:paraId="39120DBC" w14:textId="77777777" w:rsidR="001202C3" w:rsidRDefault="001202C3" w:rsidP="001202C3">
      <w:r>
        <w:t xml:space="preserve">When Arachne is used before the </w:t>
      </w:r>
      <w:r w:rsidRPr="00701BFE">
        <w:rPr>
          <w:b/>
        </w:rPr>
        <w:t>payment</w:t>
      </w:r>
      <w:r>
        <w:t>,</w:t>
      </w:r>
      <w:r w:rsidR="00446CA7">
        <w:t xml:space="preserve"> the Member State may check the financial viability of the applicants via the proposed checks under fraud and corruption in Arachne, notably through indicators such as “High or deteriorating propensity to bankruptcy” or “High or deteriorating rating compared to sector benchmark”. Member States can use this information to request additional information or assurance from the possible beneficiaries.</w:t>
      </w:r>
    </w:p>
    <w:p w14:paraId="04A5BDCB" w14:textId="77777777" w:rsidR="00A90A8E" w:rsidRDefault="001202C3" w:rsidP="001202C3">
      <w:r>
        <w:t xml:space="preserve">Member </w:t>
      </w:r>
      <w:r w:rsidRPr="001202C3">
        <w:t xml:space="preserve">States may usefully use Arachne as part of their </w:t>
      </w:r>
      <w:r w:rsidRPr="00EA6023">
        <w:rPr>
          <w:b/>
        </w:rPr>
        <w:t>audit strategy</w:t>
      </w:r>
      <w:r w:rsidRPr="001202C3">
        <w:t xml:space="preserve">. In order to better target their audits, </w:t>
      </w:r>
      <w:r w:rsidRPr="00701BFE">
        <w:t>audit bodies can select projects having high scores in one or other area (e.g. double funding) to find potential cases of serious irregularities. Any findings of irregularities cannot be extrapolated to the whole population since the initial selection of the sample is done on a risk basis rather than</w:t>
      </w:r>
      <w:r>
        <w:t xml:space="preserve"> randomly.</w:t>
      </w:r>
      <w:r w:rsidRPr="00701BFE">
        <w:t xml:space="preserve"> </w:t>
      </w:r>
    </w:p>
    <w:p w14:paraId="656EB5B6" w14:textId="77777777" w:rsidR="00181469" w:rsidRDefault="001202C3" w:rsidP="0019483A">
      <w:r w:rsidRPr="00701BFE">
        <w:t xml:space="preserve">Member States are not required to mention the results of their use of Arachne in the payment requests. Member States are however </w:t>
      </w:r>
      <w:r w:rsidR="00A90A8E">
        <w:t>encouraged</w:t>
      </w:r>
      <w:r w:rsidRPr="00701BFE">
        <w:t xml:space="preserve"> to add this information separately if they so wish. The audit summary may represent a useful source of information for the Commission services on the use of Arachne.</w:t>
      </w:r>
    </w:p>
    <w:p w14:paraId="633E0452" w14:textId="77777777" w:rsidR="00181469" w:rsidRDefault="00181469" w:rsidP="0019483A"/>
    <w:p w14:paraId="5D38ABA2" w14:textId="77777777" w:rsidR="00881148" w:rsidRPr="009052B7" w:rsidRDefault="00CF3D67" w:rsidP="009052B7">
      <w:pPr>
        <w:pStyle w:val="ListParagraph"/>
        <w:numPr>
          <w:ilvl w:val="0"/>
          <w:numId w:val="23"/>
        </w:numPr>
        <w:rPr>
          <w:b/>
        </w:rPr>
      </w:pPr>
      <w:r w:rsidRPr="009052B7">
        <w:rPr>
          <w:b/>
        </w:rPr>
        <w:t>Next steps</w:t>
      </w:r>
    </w:p>
    <w:p w14:paraId="621D4AA1" w14:textId="77777777" w:rsidR="00CF3D67" w:rsidRDefault="00CF3D67" w:rsidP="00CF3D67">
      <w:r>
        <w:t xml:space="preserve">An update </w:t>
      </w:r>
      <w:r w:rsidR="00B002CB">
        <w:t xml:space="preserve">of </w:t>
      </w:r>
      <w:r w:rsidR="00E730F4">
        <w:t>Arachne</w:t>
      </w:r>
      <w:r w:rsidR="00B002CB">
        <w:t xml:space="preserve"> </w:t>
      </w:r>
      <w:r>
        <w:t>is planned</w:t>
      </w:r>
      <w:r w:rsidR="00B002CB">
        <w:t xml:space="preserve"> in Q1 2022 </w:t>
      </w:r>
      <w:r w:rsidR="006A4232">
        <w:t xml:space="preserve">to </w:t>
      </w:r>
      <w:r w:rsidR="00470E28">
        <w:t xml:space="preserve">add a new feature to help </w:t>
      </w:r>
      <w:r>
        <w:t>analyse the data fields on beneficial owners. In the meantime, Member Sta</w:t>
      </w:r>
      <w:r w:rsidR="006A4232">
        <w:t xml:space="preserve">tes </w:t>
      </w:r>
      <w:r w:rsidR="00470E28">
        <w:t>can</w:t>
      </w:r>
      <w:r w:rsidR="006A4232">
        <w:t xml:space="preserve"> use </w:t>
      </w:r>
      <w:r w:rsidR="00E730F4">
        <w:t>Arachne</w:t>
      </w:r>
      <w:r w:rsidR="006A4232">
        <w:t xml:space="preserve"> </w:t>
      </w:r>
      <w:r w:rsidR="00470E28">
        <w:t xml:space="preserve">to identify risks and help </w:t>
      </w:r>
      <w:r w:rsidR="007E111D">
        <w:t xml:space="preserve">prevent serious irregularities </w:t>
      </w:r>
      <w:r w:rsidR="006A4232">
        <w:t>and</w:t>
      </w:r>
      <w:r>
        <w:t xml:space="preserve"> </w:t>
      </w:r>
      <w:r w:rsidRPr="004D3DF0">
        <w:t>upload</w:t>
      </w:r>
      <w:r>
        <w:t xml:space="preserve"> </w:t>
      </w:r>
      <w:r w:rsidR="006924AE">
        <w:t xml:space="preserve">the </w:t>
      </w:r>
      <w:r>
        <w:t xml:space="preserve">data </w:t>
      </w:r>
      <w:r w:rsidR="006924AE">
        <w:t xml:space="preserve">relating </w:t>
      </w:r>
      <w:r>
        <w:t>to the beneficiaries or to the contractors</w:t>
      </w:r>
      <w:r w:rsidR="006924AE">
        <w:t xml:space="preserve"> in the context of the RRF</w:t>
      </w:r>
      <w:r>
        <w:t>. There is already an additional data field</w:t>
      </w:r>
      <w:r w:rsidR="006A4232">
        <w:t xml:space="preserve"> in place for that effect in the </w:t>
      </w:r>
      <w:r w:rsidR="006924AE">
        <w:t>tool</w:t>
      </w:r>
      <w:r>
        <w:t xml:space="preserve"> where the names of the beneficial owners</w:t>
      </w:r>
      <w:r w:rsidR="006A4232">
        <w:t xml:space="preserve"> can be </w:t>
      </w:r>
      <w:r w:rsidR="004D3DF0">
        <w:t xml:space="preserve">uploaded and </w:t>
      </w:r>
      <w:r w:rsidR="006A4232">
        <w:t>stored</w:t>
      </w:r>
      <w:r w:rsidR="004D3DF0">
        <w:t>, whilst this new feature is finalised</w:t>
      </w:r>
      <w:r>
        <w:t xml:space="preserve">. </w:t>
      </w:r>
    </w:p>
    <w:p w14:paraId="18C4E818" w14:textId="77777777" w:rsidR="00B002CB" w:rsidRDefault="00EC793D" w:rsidP="00CF3D67">
      <w:r>
        <w:t xml:space="preserve">Member States are invited to provide their feedback on their use of Arachne. </w:t>
      </w:r>
      <w:r w:rsidR="00B002CB">
        <w:t xml:space="preserve">The above guidance </w:t>
      </w:r>
      <w:r w:rsidR="00E730F4">
        <w:t xml:space="preserve">will be updated to take into account </w:t>
      </w:r>
      <w:r>
        <w:t xml:space="preserve">this feedback and </w:t>
      </w:r>
      <w:r w:rsidR="00E730F4">
        <w:t xml:space="preserve">the experience gathered with the implementation of the RRF. </w:t>
      </w:r>
    </w:p>
    <w:p w14:paraId="55089FE2" w14:textId="77777777" w:rsidR="00337BDF" w:rsidRDefault="00337BDF" w:rsidP="00A4094E"/>
    <w:p w14:paraId="46EA7FA9" w14:textId="77777777" w:rsidR="009052B7" w:rsidRDefault="009052B7">
      <w:pPr>
        <w:spacing w:after="0"/>
        <w:jc w:val="left"/>
      </w:pPr>
      <w:r>
        <w:br w:type="page"/>
      </w:r>
    </w:p>
    <w:p w14:paraId="2D305914" w14:textId="77777777" w:rsidR="009052B7" w:rsidRDefault="009052B7" w:rsidP="00A4094E"/>
    <w:p w14:paraId="32D61036" w14:textId="77777777" w:rsidR="00CA5FD8" w:rsidRPr="005D272A" w:rsidRDefault="005D272A" w:rsidP="005D272A">
      <w:pPr>
        <w:jc w:val="center"/>
        <w:rPr>
          <w:b/>
        </w:rPr>
      </w:pPr>
      <w:r w:rsidRPr="005D272A">
        <w:rPr>
          <w:b/>
        </w:rPr>
        <w:t>ANNEX</w:t>
      </w:r>
    </w:p>
    <w:p w14:paraId="5938A715" w14:textId="77777777" w:rsidR="005D272A" w:rsidRPr="005D272A" w:rsidRDefault="005D272A" w:rsidP="005D272A">
      <w:pPr>
        <w:rPr>
          <w:b/>
        </w:rPr>
      </w:pPr>
      <w:r w:rsidRPr="005D272A">
        <w:rPr>
          <w:b/>
        </w:rPr>
        <w:t>Overview of the main information and functionalities in Arachne</w:t>
      </w:r>
    </w:p>
    <w:p w14:paraId="6D6EA4B2" w14:textId="77777777" w:rsidR="005D272A" w:rsidRPr="003E0761" w:rsidRDefault="005D272A" w:rsidP="005D272A">
      <w:pPr>
        <w:rPr>
          <w:lang w:val="en-US"/>
        </w:rPr>
      </w:pPr>
      <w:r>
        <w:rPr>
          <w:lang w:val="en-US"/>
        </w:rPr>
        <w:t>By combining</w:t>
      </w:r>
      <w:r w:rsidRPr="00B15457">
        <w:t xml:space="preserve"> internal data on project</w:t>
      </w:r>
      <w:r>
        <w:t>s</w:t>
      </w:r>
      <w:r w:rsidRPr="00B15457">
        <w:t xml:space="preserve"> financed from the </w:t>
      </w:r>
      <w:r>
        <w:t>Union f</w:t>
      </w:r>
      <w:r w:rsidRPr="00B15457">
        <w:t>unds provided by the M</w:t>
      </w:r>
      <w:r>
        <w:t xml:space="preserve">ember </w:t>
      </w:r>
      <w:r w:rsidRPr="00B15457">
        <w:t>S</w:t>
      </w:r>
      <w:r>
        <w:t>tates</w:t>
      </w:r>
      <w:r w:rsidRPr="00B15457">
        <w:t xml:space="preserve"> with external </w:t>
      </w:r>
      <w:r>
        <w:t xml:space="preserve">publicly available </w:t>
      </w:r>
      <w:r w:rsidRPr="00B15457">
        <w:t>data (World</w:t>
      </w:r>
      <w:r w:rsidR="00EA6023">
        <w:t>C</w:t>
      </w:r>
      <w:r w:rsidRPr="00B15457">
        <w:t>ompliance and Orbis)</w:t>
      </w:r>
      <w:r>
        <w:t>, Arachne calculates risk scores per project, beneficiary, contract and contractor, hence enabling to identify</w:t>
      </w:r>
      <w:r w:rsidRPr="003E0761">
        <w:rPr>
          <w:lang w:val="en-US"/>
        </w:rPr>
        <w:t xml:space="preserve"> </w:t>
      </w:r>
      <w:r>
        <w:rPr>
          <w:lang w:val="en-US"/>
        </w:rPr>
        <w:t xml:space="preserve">more easily those </w:t>
      </w:r>
      <w:r w:rsidRPr="003E0761">
        <w:rPr>
          <w:lang w:val="en-US"/>
        </w:rPr>
        <w:t xml:space="preserve">projects, beneficiaries, contracts and contractors </w:t>
      </w:r>
      <w:r>
        <w:rPr>
          <w:lang w:val="en-US"/>
        </w:rPr>
        <w:t>that</w:t>
      </w:r>
      <w:r w:rsidRPr="003E0761">
        <w:rPr>
          <w:lang w:val="en-US"/>
        </w:rPr>
        <w:t xml:space="preserve"> might </w:t>
      </w:r>
      <w:r>
        <w:rPr>
          <w:lang w:val="en-US"/>
        </w:rPr>
        <w:t>represent a higher risk</w:t>
      </w:r>
      <w:r w:rsidRPr="003E0761">
        <w:rPr>
          <w:lang w:val="en-US"/>
        </w:rPr>
        <w:t xml:space="preserve"> of fraud, </w:t>
      </w:r>
      <w:r>
        <w:rPr>
          <w:lang w:val="en-US"/>
        </w:rPr>
        <w:t xml:space="preserve">corruption, </w:t>
      </w:r>
      <w:r w:rsidRPr="003E0761">
        <w:rPr>
          <w:lang w:val="en-US"/>
        </w:rPr>
        <w:t>conflict of interest and</w:t>
      </w:r>
      <w:r>
        <w:rPr>
          <w:lang w:val="en-US"/>
        </w:rPr>
        <w:t>, to a lesser extent, double-funding</w:t>
      </w:r>
      <w:r w:rsidRPr="003E0761">
        <w:rPr>
          <w:lang w:val="en-US"/>
        </w:rPr>
        <w:t>.</w:t>
      </w:r>
    </w:p>
    <w:p w14:paraId="48B13939" w14:textId="77777777" w:rsidR="005D272A" w:rsidRPr="009D4FBD" w:rsidRDefault="005D272A" w:rsidP="005D272A">
      <w:pPr>
        <w:rPr>
          <w:u w:val="single"/>
        </w:rPr>
      </w:pPr>
      <w:r w:rsidRPr="009D4FBD">
        <w:rPr>
          <w:u w:val="single"/>
        </w:rPr>
        <w:t>Data upload and use of data</w:t>
      </w:r>
    </w:p>
    <w:p w14:paraId="51ED2396" w14:textId="77777777" w:rsidR="005D272A" w:rsidRDefault="005D272A" w:rsidP="005D272A">
      <w:r>
        <w:t>The data available in the application comes from multiple sources and is aggregated in order to give the user a view on potential risks linked to the projects in his/her Recovery and Resilience Plan (RRP). These data sources are:</w:t>
      </w:r>
    </w:p>
    <w:p w14:paraId="117B1034" w14:textId="77777777" w:rsidR="005D272A" w:rsidRDefault="005D272A" w:rsidP="00B002CB">
      <w:pPr>
        <w:pStyle w:val="ListParagraph"/>
        <w:numPr>
          <w:ilvl w:val="0"/>
          <w:numId w:val="29"/>
        </w:numPr>
        <w:ind w:left="284" w:hanging="294"/>
      </w:pPr>
      <w:r>
        <w:t xml:space="preserve">Member States data about projects, contracts and, should the Member State choose to do so, on expenses. These are called </w:t>
      </w:r>
      <w:r w:rsidR="00470E28">
        <w:t>“</w:t>
      </w:r>
      <w:r>
        <w:t>internal data</w:t>
      </w:r>
      <w:r w:rsidR="00470E28">
        <w:t>”</w:t>
      </w:r>
      <w:r>
        <w:t>.</w:t>
      </w:r>
    </w:p>
    <w:p w14:paraId="39296525" w14:textId="77777777" w:rsidR="005D272A" w:rsidRDefault="005D272A" w:rsidP="00B002CB">
      <w:pPr>
        <w:pStyle w:val="ListParagraph"/>
        <w:numPr>
          <w:ilvl w:val="0"/>
          <w:numId w:val="29"/>
        </w:numPr>
        <w:ind w:left="284" w:hanging="294"/>
      </w:pPr>
      <w:r>
        <w:t xml:space="preserve"> Publicly available information about companies and their board members</w:t>
      </w:r>
    </w:p>
    <w:p w14:paraId="041A1682" w14:textId="77777777" w:rsidR="005D272A" w:rsidRDefault="005D272A" w:rsidP="00B002CB">
      <w:pPr>
        <w:pStyle w:val="ListParagraph"/>
        <w:numPr>
          <w:ilvl w:val="0"/>
          <w:numId w:val="28"/>
        </w:numPr>
        <w:ind w:left="567"/>
      </w:pPr>
      <w:r>
        <w:t>General information (address, phone, web site ...)</w:t>
      </w:r>
    </w:p>
    <w:p w14:paraId="77DE3970" w14:textId="77777777" w:rsidR="005D272A" w:rsidRDefault="005D272A" w:rsidP="00B002CB">
      <w:pPr>
        <w:pStyle w:val="ListParagraph"/>
        <w:numPr>
          <w:ilvl w:val="0"/>
          <w:numId w:val="28"/>
        </w:numPr>
        <w:ind w:left="567"/>
      </w:pPr>
      <w:r>
        <w:t>Financial information coming from published balance sheets</w:t>
      </w:r>
    </w:p>
    <w:p w14:paraId="234E7114" w14:textId="77777777" w:rsidR="005D272A" w:rsidRDefault="005D272A" w:rsidP="00B002CB">
      <w:pPr>
        <w:pStyle w:val="ListParagraph"/>
        <w:numPr>
          <w:ilvl w:val="0"/>
          <w:numId w:val="28"/>
        </w:numPr>
        <w:ind w:left="567"/>
      </w:pPr>
      <w:r>
        <w:t>Ownership information between companies</w:t>
      </w:r>
    </w:p>
    <w:p w14:paraId="1354DB9E" w14:textId="77777777" w:rsidR="005D272A" w:rsidRDefault="005D272A" w:rsidP="00B002CB">
      <w:pPr>
        <w:pStyle w:val="ListParagraph"/>
        <w:numPr>
          <w:ilvl w:val="0"/>
          <w:numId w:val="28"/>
        </w:numPr>
        <w:ind w:left="567"/>
      </w:pPr>
      <w:r>
        <w:t>Ownership and functional relationships between companies and individuals</w:t>
      </w:r>
    </w:p>
    <w:p w14:paraId="3979FD96" w14:textId="77777777" w:rsidR="005D272A" w:rsidRDefault="005D272A" w:rsidP="00B002CB">
      <w:pPr>
        <w:pStyle w:val="ListParagraph"/>
        <w:numPr>
          <w:ilvl w:val="0"/>
          <w:numId w:val="28"/>
        </w:numPr>
        <w:ind w:left="567"/>
      </w:pPr>
      <w:r>
        <w:t>Global PEP lists</w:t>
      </w:r>
    </w:p>
    <w:p w14:paraId="18023E62" w14:textId="77777777" w:rsidR="005D272A" w:rsidRDefault="005D272A" w:rsidP="00B002CB">
      <w:pPr>
        <w:pStyle w:val="ListParagraph"/>
        <w:numPr>
          <w:ilvl w:val="0"/>
          <w:numId w:val="28"/>
        </w:numPr>
        <w:ind w:left="567"/>
      </w:pPr>
      <w:r>
        <w:t>Global sanction lists</w:t>
      </w:r>
    </w:p>
    <w:p w14:paraId="291FF5BE" w14:textId="77777777" w:rsidR="005D272A" w:rsidRDefault="005D272A" w:rsidP="00B002CB">
      <w:pPr>
        <w:pStyle w:val="ListParagraph"/>
        <w:numPr>
          <w:ilvl w:val="0"/>
          <w:numId w:val="28"/>
        </w:numPr>
        <w:ind w:left="567"/>
      </w:pPr>
      <w:r>
        <w:t>Global enforcement lists</w:t>
      </w:r>
    </w:p>
    <w:p w14:paraId="4A234015" w14:textId="77777777" w:rsidR="005D272A" w:rsidRDefault="005D272A" w:rsidP="00B002CB">
      <w:pPr>
        <w:pStyle w:val="ListParagraph"/>
        <w:numPr>
          <w:ilvl w:val="0"/>
          <w:numId w:val="28"/>
        </w:numPr>
        <w:ind w:left="567"/>
      </w:pPr>
      <w:r>
        <w:t>Global adverse media lists</w:t>
      </w:r>
    </w:p>
    <w:p w14:paraId="455E3919" w14:textId="77777777" w:rsidR="005D272A" w:rsidRDefault="005D272A" w:rsidP="005D272A">
      <w:r>
        <w:t xml:space="preserve">This publically available information is called </w:t>
      </w:r>
      <w:r w:rsidR="00470E28">
        <w:t>“</w:t>
      </w:r>
      <w:r>
        <w:t>external data</w:t>
      </w:r>
      <w:r w:rsidR="00470E28">
        <w:t>”</w:t>
      </w:r>
      <w:r>
        <w:t xml:space="preserve">. It is also referenced as </w:t>
      </w:r>
      <w:r w:rsidR="00470E28">
        <w:t>“</w:t>
      </w:r>
      <w:r>
        <w:t>Orbis</w:t>
      </w:r>
      <w:r w:rsidR="00470E28">
        <w:t xml:space="preserve"> data”</w:t>
      </w:r>
      <w:r>
        <w:t xml:space="preserve"> and/or </w:t>
      </w:r>
      <w:r w:rsidR="00470E28">
        <w:t>“</w:t>
      </w:r>
      <w:r>
        <w:t>WorldCompliance data</w:t>
      </w:r>
      <w:r w:rsidR="00470E28">
        <w:t>”</w:t>
      </w:r>
      <w:r>
        <w:t xml:space="preserve"> in the manual or the application (Orbis and WorldCompliance are the original data source names).</w:t>
      </w:r>
    </w:p>
    <w:p w14:paraId="4AC15B42" w14:textId="77777777" w:rsidR="00F23482" w:rsidRDefault="005D272A" w:rsidP="00EA6023">
      <w:pPr>
        <w:spacing w:before="40" w:after="40"/>
      </w:pPr>
      <w:r>
        <w:t>“Vadis predictive indicators”</w:t>
      </w:r>
      <w:r w:rsidR="00E05ED4">
        <w:t>, such as indicators “</w:t>
      </w:r>
      <w:r w:rsidR="00E05ED4" w:rsidRPr="00F23482">
        <w:t>High or deteriorating propensity to bankruptcy</w:t>
      </w:r>
      <w:r w:rsidR="00E05ED4">
        <w:t>”</w:t>
      </w:r>
      <w:r>
        <w:t xml:space="preserve"> </w:t>
      </w:r>
      <w:r w:rsidR="00E05ED4">
        <w:t xml:space="preserve">are </w:t>
      </w:r>
      <w:r>
        <w:t>based on predictive risk modelling. These indicators are considered to be external data as well</w:t>
      </w:r>
      <w:r w:rsidR="00F23482">
        <w:t xml:space="preserve">. </w:t>
      </w:r>
      <w:r>
        <w:t>All these sources are bound and processed together in a single database, to allow the user to browse, search and perform advanced operations in the application.</w:t>
      </w:r>
      <w:r w:rsidR="00F23482">
        <w:t xml:space="preserve"> </w:t>
      </w:r>
      <w:r w:rsidR="00663051">
        <w:t xml:space="preserve">Arachne </w:t>
      </w:r>
      <w:r w:rsidR="00663051" w:rsidRPr="00136802">
        <w:t>processe</w:t>
      </w:r>
      <w:r w:rsidR="00663051">
        <w:t xml:space="preserve">s this data to identify linkages and </w:t>
      </w:r>
      <w:r w:rsidR="00663051" w:rsidRPr="00136802">
        <w:t>allow</w:t>
      </w:r>
      <w:r w:rsidR="00663051">
        <w:t>s</w:t>
      </w:r>
      <w:r w:rsidR="00663051" w:rsidRPr="00136802">
        <w:t xml:space="preserve"> the user to browse, search and perform advanced o</w:t>
      </w:r>
      <w:r w:rsidR="00663051">
        <w:t xml:space="preserve">perations in the application. </w:t>
      </w:r>
    </w:p>
    <w:p w14:paraId="76D6D162" w14:textId="77777777" w:rsidR="00663051" w:rsidRPr="002234EA" w:rsidRDefault="00663051" w:rsidP="00EA6023">
      <w:pPr>
        <w:spacing w:before="40" w:after="40"/>
      </w:pPr>
      <w:r w:rsidRPr="00136802">
        <w:t xml:space="preserve">The </w:t>
      </w:r>
      <w:r>
        <w:t xml:space="preserve">internal </w:t>
      </w:r>
      <w:r w:rsidRPr="00136802">
        <w:t>data should be uploaded in this system on a regular basis by the Member State. The external databases (Orbis and WorldCompliance) are currently refreshed on a quarterly basis but the intention is to refresh on a monthly ba</w:t>
      </w:r>
      <w:r>
        <w:t xml:space="preserve">sis as of </w:t>
      </w:r>
      <w:r w:rsidR="00F23482">
        <w:t>Q2</w:t>
      </w:r>
      <w:r w:rsidR="00932512">
        <w:t xml:space="preserve"> </w:t>
      </w:r>
      <w:r>
        <w:t xml:space="preserve">2022.  </w:t>
      </w:r>
    </w:p>
    <w:p w14:paraId="2A2B97B6" w14:textId="77777777" w:rsidR="00663051" w:rsidRDefault="005D272A" w:rsidP="005D272A">
      <w:r w:rsidRPr="004A4ED3">
        <w:t xml:space="preserve">The data to be </w:t>
      </w:r>
      <w:r w:rsidR="001A0E53">
        <w:t xml:space="preserve">uploaded by the Member States can </w:t>
      </w:r>
      <w:r w:rsidRPr="004A4ED3">
        <w:t xml:space="preserve">come from data monitoring information systems established at </w:t>
      </w:r>
      <w:r>
        <w:t>Implementing or Managing A</w:t>
      </w:r>
      <w:r w:rsidRPr="004A4ED3">
        <w:t xml:space="preserve">uthority level </w:t>
      </w:r>
      <w:r>
        <w:t>that</w:t>
      </w:r>
      <w:r w:rsidRPr="004A4ED3">
        <w:t xml:space="preserve"> contain </w:t>
      </w:r>
      <w:r w:rsidR="001A0E53">
        <w:t xml:space="preserve">in particular </w:t>
      </w:r>
      <w:r w:rsidRPr="004A4ED3">
        <w:t>the mandatory data to be to recorded and stored in electronic system on each operation</w:t>
      </w:r>
      <w:r>
        <w:t>/beneficiary</w:t>
      </w:r>
      <w:r w:rsidRPr="004A4ED3">
        <w:t xml:space="preserve"> for </w:t>
      </w:r>
      <w:r>
        <w:t xml:space="preserve">the purpose of  </w:t>
      </w:r>
      <w:r w:rsidRPr="004A4ED3">
        <w:t>audit</w:t>
      </w:r>
      <w:r>
        <w:t xml:space="preserve"> and control</w:t>
      </w:r>
      <w:r w:rsidR="00663051">
        <w:t>, c.q. the data listed in Art. 22</w:t>
      </w:r>
      <w:r w:rsidR="001A0E53">
        <w:t>(</w:t>
      </w:r>
      <w:r w:rsidR="00663051">
        <w:t>2</w:t>
      </w:r>
      <w:r w:rsidR="001A0E53">
        <w:t>)</w:t>
      </w:r>
      <w:r w:rsidR="00663051">
        <w:t>(d) of the RRF regulation</w:t>
      </w:r>
      <w:r w:rsidR="00663051" w:rsidRPr="00136802">
        <w:t>.</w:t>
      </w:r>
    </w:p>
    <w:p w14:paraId="6567E560" w14:textId="77777777" w:rsidR="00EC793D" w:rsidRDefault="00663051" w:rsidP="00EA6023">
      <w:pPr>
        <w:keepNext/>
        <w:rPr>
          <w:u w:val="single"/>
        </w:rPr>
      </w:pPr>
      <w:r>
        <w:rPr>
          <w:u w:val="single"/>
        </w:rPr>
        <w:lastRenderedPageBreak/>
        <w:t>Personal data protection</w:t>
      </w:r>
    </w:p>
    <w:p w14:paraId="5DD77FEC" w14:textId="77777777" w:rsidR="00663051" w:rsidRPr="00F23482" w:rsidRDefault="007C7B75" w:rsidP="00663051">
      <w:pPr>
        <w:pStyle w:val="Default"/>
        <w:jc w:val="both"/>
        <w:rPr>
          <w:rFonts w:ascii="Times New Roman" w:eastAsia="Times New Roman" w:hAnsi="Times New Roman" w:cs="Times New Roman"/>
          <w:color w:val="auto"/>
          <w:szCs w:val="20"/>
          <w:lang w:val="en-GB" w:eastAsia="en-GB"/>
        </w:rPr>
      </w:pPr>
      <w:r>
        <w:rPr>
          <w:rFonts w:ascii="Times New Roman" w:eastAsia="Times New Roman" w:hAnsi="Times New Roman" w:cs="Times New Roman"/>
          <w:color w:val="auto"/>
          <w:szCs w:val="20"/>
          <w:lang w:val="en-GB" w:eastAsia="en-GB"/>
        </w:rPr>
        <w:t>O</w:t>
      </w:r>
      <w:r w:rsidRPr="009829B0">
        <w:rPr>
          <w:rFonts w:ascii="Times New Roman" w:eastAsia="Times New Roman" w:hAnsi="Times New Roman" w:cs="Times New Roman"/>
          <w:color w:val="auto"/>
          <w:szCs w:val="20"/>
          <w:lang w:val="en-GB" w:eastAsia="en-GB"/>
        </w:rPr>
        <w:t>n 17 May 2013</w:t>
      </w:r>
      <w:r>
        <w:rPr>
          <w:rFonts w:ascii="Times New Roman" w:eastAsia="Times New Roman" w:hAnsi="Times New Roman" w:cs="Times New Roman"/>
          <w:color w:val="auto"/>
          <w:szCs w:val="20"/>
          <w:lang w:val="en-GB" w:eastAsia="en-GB"/>
        </w:rPr>
        <w:t>, t</w:t>
      </w:r>
      <w:r w:rsidR="00663051" w:rsidRPr="00F23482">
        <w:rPr>
          <w:rFonts w:ascii="Times New Roman" w:eastAsia="Times New Roman" w:hAnsi="Times New Roman" w:cs="Times New Roman"/>
          <w:color w:val="auto"/>
          <w:szCs w:val="20"/>
          <w:lang w:val="en-GB" w:eastAsia="en-GB"/>
        </w:rPr>
        <w:t xml:space="preserve">he European Commission submitted to the European Data Protection Supervisor (hereinafter: EDPS) the required notification concerning the processing of personal data through ARACHNE. The EDPS issued on 17 February 2014 (reference 2013-0340) a positive opinion concerning the compliance of ARACHNE with the provisions of Regulation (EC) 45/2001, and conducted an inspection on 30 June and 1 July 2016 at the premises of the Commission services, to investigate the follow-up of, and ensure compliance with, the </w:t>
      </w:r>
      <w:r w:rsidR="00663051" w:rsidRPr="00EA6023">
        <w:rPr>
          <w:rFonts w:ascii="Times New Roman" w:eastAsia="Times New Roman" w:hAnsi="Times New Roman" w:cs="Times New Roman"/>
          <w:color w:val="auto"/>
          <w:szCs w:val="20"/>
          <w:lang w:val="en-GB" w:eastAsia="en-GB"/>
        </w:rPr>
        <w:t xml:space="preserve">recommendations by EDPS. </w:t>
      </w:r>
      <w:r w:rsidR="00B25EAA" w:rsidRPr="00EA6023">
        <w:rPr>
          <w:rFonts w:ascii="Times New Roman" w:hAnsi="Times New Roman" w:cs="Times New Roman"/>
          <w:lang w:val="en-GB" w:eastAsia="en-GB"/>
        </w:rPr>
        <w:t>In</w:t>
      </w:r>
      <w:bookmarkStart w:id="0" w:name="_GoBack"/>
      <w:bookmarkEnd w:id="0"/>
      <w:r w:rsidR="00B25EAA" w:rsidRPr="00EA6023">
        <w:rPr>
          <w:rFonts w:ascii="Times New Roman" w:hAnsi="Times New Roman" w:cs="Times New Roman"/>
          <w:lang w:val="en-GB" w:eastAsia="en-GB"/>
        </w:rPr>
        <w:t xml:space="preserve"> general, data provided by one Member State into ARACHNE will only be available to the Commission and that Member State. Such data will neither be shared directly with other Member States, nor with ARACHNE’s data providers.</w:t>
      </w:r>
    </w:p>
    <w:p w14:paraId="2F5357BA" w14:textId="77777777" w:rsidR="00EA6023" w:rsidRDefault="00EA6023" w:rsidP="005D272A"/>
    <w:p w14:paraId="2B594FFD" w14:textId="77777777" w:rsidR="005D272A" w:rsidRPr="009D4FBD" w:rsidRDefault="005D272A" w:rsidP="005D272A">
      <w:pPr>
        <w:rPr>
          <w:u w:val="single"/>
        </w:rPr>
      </w:pPr>
      <w:r w:rsidRPr="009D4FBD">
        <w:rPr>
          <w:u w:val="single"/>
        </w:rPr>
        <w:t>Risk indicators and scores</w:t>
      </w:r>
    </w:p>
    <w:p w14:paraId="1C5E7973" w14:textId="77777777" w:rsidR="005D272A" w:rsidRDefault="005D272A" w:rsidP="005D272A">
      <w:r>
        <w:t xml:space="preserve">Arachne is providing an overall risk score by project, beneficiary, contract and contractor, which is the average of 7 risk indicator scores, calculated for each of the following risk indicators: </w:t>
      </w:r>
    </w:p>
    <w:p w14:paraId="6F65F0C3" w14:textId="77777777" w:rsidR="005D272A" w:rsidRDefault="005D272A" w:rsidP="00B002CB">
      <w:pPr>
        <w:pStyle w:val="ListParagraph"/>
        <w:numPr>
          <w:ilvl w:val="0"/>
          <w:numId w:val="47"/>
        </w:numPr>
        <w:ind w:left="426"/>
      </w:pPr>
      <w:r>
        <w:t>Procurement Overall Score</w:t>
      </w:r>
    </w:p>
    <w:p w14:paraId="34D26DB0" w14:textId="77777777" w:rsidR="005D272A" w:rsidRPr="00BC317D" w:rsidRDefault="005D272A" w:rsidP="00B002CB">
      <w:pPr>
        <w:pStyle w:val="ListParagraph"/>
        <w:numPr>
          <w:ilvl w:val="0"/>
          <w:numId w:val="47"/>
        </w:numPr>
        <w:ind w:left="426"/>
      </w:pPr>
      <w:r w:rsidRPr="00BC317D">
        <w:t>Contract Management Overall Score</w:t>
      </w:r>
    </w:p>
    <w:p w14:paraId="07C6D4BA" w14:textId="77777777" w:rsidR="005D272A" w:rsidRDefault="005D272A" w:rsidP="00B002CB">
      <w:pPr>
        <w:pStyle w:val="ListParagraph"/>
        <w:numPr>
          <w:ilvl w:val="0"/>
          <w:numId w:val="47"/>
        </w:numPr>
        <w:ind w:left="426"/>
      </w:pPr>
      <w:r>
        <w:t>Eligibility Overall Score</w:t>
      </w:r>
    </w:p>
    <w:p w14:paraId="71DBAA9A" w14:textId="77777777" w:rsidR="005D272A" w:rsidRDefault="005D272A" w:rsidP="00B002CB">
      <w:pPr>
        <w:pStyle w:val="ListParagraph"/>
        <w:numPr>
          <w:ilvl w:val="0"/>
          <w:numId w:val="47"/>
        </w:numPr>
        <w:ind w:left="426"/>
      </w:pPr>
      <w:r>
        <w:t>Performance Overall Score</w:t>
      </w:r>
    </w:p>
    <w:p w14:paraId="132CB748" w14:textId="77777777" w:rsidR="005D272A" w:rsidRPr="00BC317D" w:rsidRDefault="005D272A" w:rsidP="00B002CB">
      <w:pPr>
        <w:pStyle w:val="ListParagraph"/>
        <w:numPr>
          <w:ilvl w:val="0"/>
          <w:numId w:val="47"/>
        </w:numPr>
        <w:ind w:left="426"/>
      </w:pPr>
      <w:r w:rsidRPr="00BC317D">
        <w:t>Concentration Overall Score</w:t>
      </w:r>
    </w:p>
    <w:p w14:paraId="357FF6D6" w14:textId="77777777" w:rsidR="005D272A" w:rsidRDefault="005D272A" w:rsidP="00B002CB">
      <w:pPr>
        <w:pStyle w:val="ListParagraph"/>
        <w:numPr>
          <w:ilvl w:val="0"/>
          <w:numId w:val="47"/>
        </w:numPr>
        <w:ind w:left="426"/>
      </w:pPr>
      <w:r>
        <w:t>Reasonability Overall Score</w:t>
      </w:r>
    </w:p>
    <w:p w14:paraId="092D33A2" w14:textId="77777777" w:rsidR="005D272A" w:rsidRPr="00BC317D" w:rsidRDefault="005D272A" w:rsidP="00B002CB">
      <w:pPr>
        <w:pStyle w:val="ListParagraph"/>
        <w:numPr>
          <w:ilvl w:val="0"/>
          <w:numId w:val="47"/>
        </w:numPr>
        <w:ind w:left="426"/>
      </w:pPr>
      <w:r w:rsidRPr="00BC317D">
        <w:t>Reputational</w:t>
      </w:r>
      <w:r>
        <w:t xml:space="preserve"> &amp;</w:t>
      </w:r>
      <w:r w:rsidRPr="00BC317D">
        <w:t xml:space="preserve"> Fraud Alerts Overall Score</w:t>
      </w:r>
    </w:p>
    <w:p w14:paraId="262270B2" w14:textId="77777777" w:rsidR="005D272A" w:rsidRDefault="005D272A" w:rsidP="005D272A">
      <w:r>
        <w:t xml:space="preserve">Each risk indicator score varies between 0 and a predefined maximum value that represents the highest risk level. The risk indicator score gives a value for different criteria applied on projects, contracts, beneficiaries and contractors. It is represented by a numerical value and a LED style indicator that goes from green (no risk) to red (highest risk). </w:t>
      </w:r>
    </w:p>
    <w:p w14:paraId="124A21E7" w14:textId="77777777" w:rsidR="005D272A" w:rsidRDefault="005D272A" w:rsidP="005D272A">
      <w:r>
        <w:t>A score out of 50 is calculated based on the average of the individual risk indicators with the highest scores. The table below provides an overview of the calculation of how each risk indicator is calculated.</w:t>
      </w:r>
      <w:r w:rsidRPr="00F67313">
        <w:t xml:space="preserve"> </w:t>
      </w:r>
      <w:r>
        <w:t>Not calculated scores are represented by a – (minus) sign, and a grey LED representation. It means that either the risk indicator / category is out of scope for the project/contract, or the internal data required to calculate the risk indicator are not provided to Arachne.</w:t>
      </w:r>
      <w:r w:rsidRPr="006D5A5D">
        <w:t xml:space="preserve"> </w:t>
      </w:r>
      <w:r>
        <w:t>The risk score of a beneficiary is the weighted average of the risk scores of its projects. The risk score of a contractor is the weighted average of its contracts.</w:t>
      </w:r>
      <w:r w:rsidRPr="005139F3">
        <w:t xml:space="preserve"> </w:t>
      </w:r>
      <w:r>
        <w:t>This information is available on the</w:t>
      </w:r>
      <w:r w:rsidRPr="00B8511B">
        <w:t xml:space="preserve"> Arachne User Manual, which is accessible from Arachne’s home page</w:t>
      </w:r>
      <w:r>
        <w:t>.</w:t>
      </w:r>
    </w:p>
    <w:tbl>
      <w:tblPr>
        <w:tblStyle w:val="TableGrid"/>
        <w:tblW w:w="0" w:type="auto"/>
        <w:tblLook w:val="04A0" w:firstRow="1" w:lastRow="0" w:firstColumn="1" w:lastColumn="0" w:noHBand="0" w:noVBand="1"/>
      </w:tblPr>
      <w:tblGrid>
        <w:gridCol w:w="1809"/>
        <w:gridCol w:w="7025"/>
      </w:tblGrid>
      <w:tr w:rsidR="005D272A" w14:paraId="198DEC5D" w14:textId="77777777" w:rsidTr="002B06A1">
        <w:tc>
          <w:tcPr>
            <w:tcW w:w="1809" w:type="dxa"/>
          </w:tcPr>
          <w:p w14:paraId="4103481A" w14:textId="77777777" w:rsidR="005D272A" w:rsidRPr="003E0761" w:rsidRDefault="005D272A" w:rsidP="002B06A1">
            <w:pPr>
              <w:rPr>
                <w:rFonts w:ascii="Times New Roman" w:hAnsi="Times New Roman"/>
                <w:sz w:val="24"/>
                <w:szCs w:val="24"/>
              </w:rPr>
            </w:pPr>
            <w:r w:rsidRPr="003E0761">
              <w:rPr>
                <w:rFonts w:ascii="Times New Roman" w:hAnsi="Times New Roman"/>
                <w:sz w:val="24"/>
                <w:szCs w:val="24"/>
              </w:rPr>
              <w:t>Procurement</w:t>
            </w:r>
          </w:p>
        </w:tc>
        <w:tc>
          <w:tcPr>
            <w:tcW w:w="7025" w:type="dxa"/>
          </w:tcPr>
          <w:p w14:paraId="35F1D53A" w14:textId="77777777" w:rsidR="005D272A" w:rsidRPr="003E0761" w:rsidRDefault="005D272A" w:rsidP="002B06A1">
            <w:pPr>
              <w:rPr>
                <w:rFonts w:ascii="Times New Roman" w:hAnsi="Times New Roman"/>
                <w:sz w:val="24"/>
                <w:szCs w:val="24"/>
              </w:rPr>
            </w:pPr>
            <w:r w:rsidRPr="003E0761">
              <w:rPr>
                <w:rFonts w:ascii="Times New Roman" w:hAnsi="Times New Roman"/>
                <w:sz w:val="24"/>
                <w:szCs w:val="24"/>
              </w:rPr>
              <w:t>A score o</w:t>
            </w:r>
            <w:r>
              <w:rPr>
                <w:rFonts w:ascii="Times New Roman" w:hAnsi="Times New Roman"/>
                <w:sz w:val="24"/>
                <w:szCs w:val="24"/>
              </w:rPr>
              <w:t>ut of</w:t>
            </w:r>
            <w:r w:rsidRPr="003E0761">
              <w:rPr>
                <w:rFonts w:ascii="Times New Roman" w:hAnsi="Times New Roman"/>
                <w:sz w:val="24"/>
                <w:szCs w:val="24"/>
              </w:rPr>
              <w:t xml:space="preserve"> 50 is calculated based on the average of the 3 individual risk indicators with the highest scores. Category risk score = (sum of the 3 risks with the highest scores / 30) * 50</w:t>
            </w:r>
          </w:p>
        </w:tc>
      </w:tr>
      <w:tr w:rsidR="005D272A" w14:paraId="2715C072" w14:textId="77777777" w:rsidTr="002B06A1">
        <w:tc>
          <w:tcPr>
            <w:tcW w:w="1809" w:type="dxa"/>
          </w:tcPr>
          <w:p w14:paraId="74B15A8A" w14:textId="77777777" w:rsidR="005D272A" w:rsidRPr="003E0761" w:rsidRDefault="005D272A" w:rsidP="002B06A1">
            <w:pPr>
              <w:rPr>
                <w:rFonts w:ascii="Times New Roman" w:hAnsi="Times New Roman"/>
                <w:sz w:val="24"/>
                <w:szCs w:val="24"/>
              </w:rPr>
            </w:pPr>
            <w:r w:rsidRPr="003E0761">
              <w:rPr>
                <w:rFonts w:ascii="Times New Roman" w:hAnsi="Times New Roman"/>
                <w:sz w:val="24"/>
                <w:szCs w:val="24"/>
              </w:rPr>
              <w:t>Contract management</w:t>
            </w:r>
          </w:p>
        </w:tc>
        <w:tc>
          <w:tcPr>
            <w:tcW w:w="7025" w:type="dxa"/>
          </w:tcPr>
          <w:p w14:paraId="52EB4729" w14:textId="77777777" w:rsidR="005D272A" w:rsidRPr="003E0761" w:rsidRDefault="005D272A" w:rsidP="002B06A1">
            <w:pPr>
              <w:rPr>
                <w:rFonts w:ascii="Times New Roman" w:hAnsi="Times New Roman"/>
                <w:sz w:val="24"/>
                <w:szCs w:val="24"/>
              </w:rPr>
            </w:pPr>
            <w:r w:rsidRPr="003E0761">
              <w:rPr>
                <w:rFonts w:ascii="Times New Roman" w:hAnsi="Times New Roman"/>
                <w:sz w:val="24"/>
                <w:szCs w:val="24"/>
              </w:rPr>
              <w:t>A score o</w:t>
            </w:r>
            <w:r>
              <w:rPr>
                <w:rFonts w:ascii="Times New Roman" w:hAnsi="Times New Roman"/>
                <w:sz w:val="24"/>
                <w:szCs w:val="24"/>
              </w:rPr>
              <w:t>ut of</w:t>
            </w:r>
            <w:r w:rsidRPr="003E0761">
              <w:rPr>
                <w:rFonts w:ascii="Times New Roman" w:hAnsi="Times New Roman"/>
                <w:sz w:val="24"/>
                <w:szCs w:val="24"/>
              </w:rPr>
              <w:t xml:space="preserve"> 50 is calculated based on the average of the 5 individual risk indicators with the highest scores. Denominator = sum of the max scores of the calculated risks of the 5 highest scores, but with a minimum of 30 Category risk score = (sum of the 5 risks with </w:t>
            </w:r>
            <w:r w:rsidRPr="003E0761">
              <w:rPr>
                <w:rFonts w:ascii="Times New Roman" w:hAnsi="Times New Roman"/>
                <w:sz w:val="24"/>
                <w:szCs w:val="24"/>
              </w:rPr>
              <w:lastRenderedPageBreak/>
              <w:t>the highest scores / denominator) * 50</w:t>
            </w:r>
          </w:p>
        </w:tc>
      </w:tr>
      <w:tr w:rsidR="005D272A" w14:paraId="1C323322" w14:textId="77777777" w:rsidTr="002B06A1">
        <w:tc>
          <w:tcPr>
            <w:tcW w:w="1809" w:type="dxa"/>
          </w:tcPr>
          <w:p w14:paraId="08849302" w14:textId="77777777" w:rsidR="005D272A" w:rsidRPr="003E0761" w:rsidRDefault="005D272A" w:rsidP="002B06A1">
            <w:pPr>
              <w:rPr>
                <w:rFonts w:ascii="Times New Roman" w:hAnsi="Times New Roman"/>
                <w:sz w:val="24"/>
                <w:szCs w:val="24"/>
              </w:rPr>
            </w:pPr>
            <w:r w:rsidRPr="003E0761">
              <w:rPr>
                <w:rFonts w:ascii="Times New Roman" w:hAnsi="Times New Roman"/>
                <w:sz w:val="24"/>
                <w:szCs w:val="24"/>
              </w:rPr>
              <w:lastRenderedPageBreak/>
              <w:t>Eligibility</w:t>
            </w:r>
          </w:p>
        </w:tc>
        <w:tc>
          <w:tcPr>
            <w:tcW w:w="7025" w:type="dxa"/>
          </w:tcPr>
          <w:p w14:paraId="6108730A" w14:textId="77777777" w:rsidR="005D272A" w:rsidRPr="003E0761" w:rsidRDefault="005D272A" w:rsidP="002B06A1">
            <w:pPr>
              <w:rPr>
                <w:rFonts w:ascii="Times New Roman" w:hAnsi="Times New Roman"/>
                <w:sz w:val="24"/>
                <w:szCs w:val="24"/>
              </w:rPr>
            </w:pPr>
            <w:r w:rsidRPr="003E0761">
              <w:rPr>
                <w:rFonts w:ascii="Times New Roman" w:hAnsi="Times New Roman"/>
                <w:sz w:val="24"/>
                <w:szCs w:val="24"/>
              </w:rPr>
              <w:t>A score o</w:t>
            </w:r>
            <w:r>
              <w:rPr>
                <w:rFonts w:ascii="Times New Roman" w:hAnsi="Times New Roman"/>
                <w:sz w:val="24"/>
                <w:szCs w:val="24"/>
              </w:rPr>
              <w:t>ut of</w:t>
            </w:r>
            <w:r w:rsidRPr="003E0761">
              <w:rPr>
                <w:rFonts w:ascii="Times New Roman" w:hAnsi="Times New Roman"/>
                <w:sz w:val="24"/>
                <w:szCs w:val="24"/>
              </w:rPr>
              <w:t xml:space="preserve"> 50 is calculated based on the average of the 5 individual risk indicators with the highest scores. User manual 135 Denominator = sum of the max scores of the calculated risks of the 5 highest scores, but with a minimum of 30 Category risk score = (sum of the 5 risks with the highest scores / denominator) * 50</w:t>
            </w:r>
          </w:p>
        </w:tc>
      </w:tr>
      <w:tr w:rsidR="005D272A" w14:paraId="317B6874" w14:textId="77777777" w:rsidTr="002B06A1">
        <w:tc>
          <w:tcPr>
            <w:tcW w:w="1809" w:type="dxa"/>
          </w:tcPr>
          <w:p w14:paraId="4CE0536D" w14:textId="77777777" w:rsidR="005D272A" w:rsidRPr="003E0761" w:rsidRDefault="005D272A" w:rsidP="002B06A1">
            <w:pPr>
              <w:rPr>
                <w:rFonts w:ascii="Times New Roman" w:hAnsi="Times New Roman"/>
                <w:sz w:val="24"/>
                <w:szCs w:val="24"/>
              </w:rPr>
            </w:pPr>
            <w:r w:rsidRPr="003E0761">
              <w:rPr>
                <w:rFonts w:ascii="Times New Roman" w:hAnsi="Times New Roman"/>
                <w:sz w:val="24"/>
                <w:szCs w:val="24"/>
              </w:rPr>
              <w:t>Performance</w:t>
            </w:r>
          </w:p>
        </w:tc>
        <w:tc>
          <w:tcPr>
            <w:tcW w:w="7025" w:type="dxa"/>
          </w:tcPr>
          <w:p w14:paraId="54ED5FA7" w14:textId="77777777" w:rsidR="005D272A" w:rsidRPr="003E0761" w:rsidRDefault="005D272A" w:rsidP="002B06A1">
            <w:pPr>
              <w:rPr>
                <w:rFonts w:ascii="Times New Roman" w:hAnsi="Times New Roman"/>
                <w:sz w:val="24"/>
                <w:szCs w:val="24"/>
              </w:rPr>
            </w:pPr>
            <w:r w:rsidRPr="003E0761">
              <w:rPr>
                <w:rFonts w:ascii="Times New Roman" w:hAnsi="Times New Roman"/>
                <w:sz w:val="24"/>
                <w:szCs w:val="24"/>
              </w:rPr>
              <w:t>A score o</w:t>
            </w:r>
            <w:r>
              <w:rPr>
                <w:rFonts w:ascii="Times New Roman" w:hAnsi="Times New Roman"/>
                <w:sz w:val="24"/>
                <w:szCs w:val="24"/>
              </w:rPr>
              <w:t>ut of</w:t>
            </w:r>
            <w:r w:rsidRPr="003E0761">
              <w:rPr>
                <w:rFonts w:ascii="Times New Roman" w:hAnsi="Times New Roman"/>
                <w:sz w:val="24"/>
                <w:szCs w:val="24"/>
              </w:rPr>
              <w:t xml:space="preserve"> 50 is calculated based on the average of all individual risk indicators. Denominator = sum of the max scores of the calculated risks (without minimum) Category risk score = (sum of the calculated risks / denominator) * 50</w:t>
            </w:r>
          </w:p>
        </w:tc>
      </w:tr>
      <w:tr w:rsidR="005D272A" w14:paraId="29266A86" w14:textId="77777777" w:rsidTr="002B06A1">
        <w:tc>
          <w:tcPr>
            <w:tcW w:w="1809" w:type="dxa"/>
          </w:tcPr>
          <w:p w14:paraId="6662FB5C" w14:textId="77777777" w:rsidR="005D272A" w:rsidRPr="003E0761" w:rsidRDefault="005D272A" w:rsidP="002B06A1">
            <w:pPr>
              <w:rPr>
                <w:rFonts w:ascii="Times New Roman" w:hAnsi="Times New Roman"/>
                <w:sz w:val="24"/>
                <w:szCs w:val="24"/>
              </w:rPr>
            </w:pPr>
            <w:r w:rsidRPr="003E0761">
              <w:rPr>
                <w:rFonts w:ascii="Times New Roman" w:hAnsi="Times New Roman"/>
                <w:sz w:val="24"/>
                <w:szCs w:val="24"/>
              </w:rPr>
              <w:t>Concentration</w:t>
            </w:r>
          </w:p>
        </w:tc>
        <w:tc>
          <w:tcPr>
            <w:tcW w:w="7025" w:type="dxa"/>
          </w:tcPr>
          <w:p w14:paraId="7E51F4B9" w14:textId="77777777" w:rsidR="005D272A" w:rsidRPr="003E0761" w:rsidRDefault="005D272A" w:rsidP="002B06A1">
            <w:pPr>
              <w:rPr>
                <w:rFonts w:ascii="Times New Roman" w:hAnsi="Times New Roman"/>
                <w:sz w:val="24"/>
                <w:szCs w:val="24"/>
              </w:rPr>
            </w:pPr>
            <w:r w:rsidRPr="003E0761">
              <w:rPr>
                <w:rFonts w:ascii="Times New Roman" w:hAnsi="Times New Roman"/>
                <w:sz w:val="24"/>
                <w:szCs w:val="24"/>
              </w:rPr>
              <w:t>A score o</w:t>
            </w:r>
            <w:r>
              <w:rPr>
                <w:rFonts w:ascii="Times New Roman" w:hAnsi="Times New Roman"/>
                <w:sz w:val="24"/>
                <w:szCs w:val="24"/>
              </w:rPr>
              <w:t>ut of</w:t>
            </w:r>
            <w:r w:rsidRPr="003E0761">
              <w:rPr>
                <w:rFonts w:ascii="Times New Roman" w:hAnsi="Times New Roman"/>
                <w:sz w:val="24"/>
                <w:szCs w:val="24"/>
              </w:rPr>
              <w:t xml:space="preserve"> 50 is calculated based on the average of the 5 individual risk indicators with the highest scores. Denominator = sum of the max scores of the calculated risks of the 5 highest scores, but with a minimum of 30 Category risk score = (sum of the 5 risks with the highest scores / denominator) * 50</w:t>
            </w:r>
          </w:p>
        </w:tc>
      </w:tr>
      <w:tr w:rsidR="005D272A" w14:paraId="2429BDEB" w14:textId="77777777" w:rsidTr="002B06A1">
        <w:tc>
          <w:tcPr>
            <w:tcW w:w="1809" w:type="dxa"/>
          </w:tcPr>
          <w:p w14:paraId="41D16056" w14:textId="77777777" w:rsidR="005D272A" w:rsidRPr="003E0761" w:rsidRDefault="005D272A" w:rsidP="002B06A1">
            <w:pPr>
              <w:rPr>
                <w:rFonts w:ascii="Times New Roman" w:hAnsi="Times New Roman"/>
                <w:sz w:val="24"/>
                <w:szCs w:val="24"/>
              </w:rPr>
            </w:pPr>
            <w:r w:rsidRPr="003E0761">
              <w:rPr>
                <w:rFonts w:ascii="Times New Roman" w:hAnsi="Times New Roman"/>
                <w:sz w:val="24"/>
                <w:szCs w:val="24"/>
              </w:rPr>
              <w:t>Reasonability</w:t>
            </w:r>
          </w:p>
        </w:tc>
        <w:tc>
          <w:tcPr>
            <w:tcW w:w="7025" w:type="dxa"/>
          </w:tcPr>
          <w:p w14:paraId="18698BED" w14:textId="77777777" w:rsidR="005D272A" w:rsidRPr="003E0761" w:rsidRDefault="005D272A" w:rsidP="002B06A1">
            <w:pPr>
              <w:rPr>
                <w:rFonts w:ascii="Times New Roman" w:hAnsi="Times New Roman"/>
                <w:sz w:val="24"/>
                <w:szCs w:val="24"/>
              </w:rPr>
            </w:pPr>
            <w:r w:rsidRPr="003E0761">
              <w:rPr>
                <w:rFonts w:ascii="Times New Roman" w:hAnsi="Times New Roman"/>
                <w:sz w:val="24"/>
                <w:szCs w:val="24"/>
              </w:rPr>
              <w:t>A score o</w:t>
            </w:r>
            <w:r>
              <w:rPr>
                <w:rFonts w:ascii="Times New Roman" w:hAnsi="Times New Roman"/>
                <w:sz w:val="24"/>
                <w:szCs w:val="24"/>
              </w:rPr>
              <w:t>ut of</w:t>
            </w:r>
            <w:r w:rsidRPr="003E0761">
              <w:rPr>
                <w:rFonts w:ascii="Times New Roman" w:hAnsi="Times New Roman"/>
                <w:sz w:val="24"/>
                <w:szCs w:val="24"/>
              </w:rPr>
              <w:t xml:space="preserve"> 50 is calculated based on the average of the 5 individual risk indicators with the highest scores. Denominator = sum of the max scores of the calculated risks of the 5 highest scores, but with a minimum of 30 Category risk score = (sum of the 5 risks with the highest scores / denominator) * 50</w:t>
            </w:r>
          </w:p>
        </w:tc>
      </w:tr>
      <w:tr w:rsidR="005D272A" w14:paraId="4400586B" w14:textId="77777777" w:rsidTr="002B06A1">
        <w:tc>
          <w:tcPr>
            <w:tcW w:w="1809" w:type="dxa"/>
          </w:tcPr>
          <w:p w14:paraId="7067AA66" w14:textId="77777777" w:rsidR="005D272A" w:rsidRPr="003E0761" w:rsidRDefault="005D272A" w:rsidP="002B06A1">
            <w:pPr>
              <w:rPr>
                <w:rFonts w:ascii="Times New Roman" w:hAnsi="Times New Roman"/>
                <w:sz w:val="24"/>
                <w:szCs w:val="24"/>
              </w:rPr>
            </w:pPr>
            <w:r w:rsidRPr="003E0761">
              <w:rPr>
                <w:rFonts w:ascii="Times New Roman" w:hAnsi="Times New Roman"/>
                <w:sz w:val="24"/>
                <w:szCs w:val="24"/>
              </w:rPr>
              <w:t>Reputational &amp; Fraud</w:t>
            </w:r>
          </w:p>
        </w:tc>
        <w:tc>
          <w:tcPr>
            <w:tcW w:w="7025" w:type="dxa"/>
          </w:tcPr>
          <w:p w14:paraId="5400F693" w14:textId="77777777" w:rsidR="005D272A" w:rsidRPr="003E0761" w:rsidRDefault="005D272A" w:rsidP="002B06A1">
            <w:pPr>
              <w:rPr>
                <w:rFonts w:ascii="Times New Roman" w:hAnsi="Times New Roman"/>
                <w:sz w:val="24"/>
                <w:szCs w:val="24"/>
              </w:rPr>
            </w:pPr>
            <w:r w:rsidRPr="003E0761">
              <w:rPr>
                <w:rFonts w:ascii="Times New Roman" w:hAnsi="Times New Roman"/>
                <w:sz w:val="24"/>
                <w:szCs w:val="24"/>
              </w:rPr>
              <w:t>A score o</w:t>
            </w:r>
            <w:r>
              <w:rPr>
                <w:rFonts w:ascii="Times New Roman" w:hAnsi="Times New Roman"/>
                <w:sz w:val="24"/>
                <w:szCs w:val="24"/>
              </w:rPr>
              <w:t>ut of</w:t>
            </w:r>
            <w:r w:rsidRPr="003E0761">
              <w:rPr>
                <w:rFonts w:ascii="Times New Roman" w:hAnsi="Times New Roman"/>
                <w:sz w:val="24"/>
                <w:szCs w:val="24"/>
              </w:rPr>
              <w:t xml:space="preserve"> 50 is calculated based on the average of the 10 individual risk indicators with the highest scores, taking into account the weight of the individual indicators to identify the 10 highest risk scores (e.g. 6 on 10 is higher than 7 on 20 and lower than 4 on 5). Denominator = sum of the max scores of the calculated risks of the 10 highest scores Category risk score = (sum of the 10 risks with the highest scores / denominator) * 50</w:t>
            </w:r>
          </w:p>
        </w:tc>
      </w:tr>
      <w:tr w:rsidR="005D272A" w14:paraId="37DA2BF1" w14:textId="77777777" w:rsidTr="002B06A1">
        <w:tc>
          <w:tcPr>
            <w:tcW w:w="1809" w:type="dxa"/>
          </w:tcPr>
          <w:p w14:paraId="5C4CD3BE" w14:textId="77777777" w:rsidR="005D272A" w:rsidRPr="003E0761" w:rsidRDefault="005D272A" w:rsidP="002B06A1">
            <w:pPr>
              <w:rPr>
                <w:rFonts w:ascii="Times New Roman" w:hAnsi="Times New Roman"/>
                <w:sz w:val="24"/>
                <w:szCs w:val="24"/>
              </w:rPr>
            </w:pPr>
            <w:r w:rsidRPr="003E0761">
              <w:rPr>
                <w:rFonts w:ascii="Times New Roman" w:hAnsi="Times New Roman"/>
                <w:sz w:val="24"/>
                <w:szCs w:val="24"/>
              </w:rPr>
              <w:t>Overall</w:t>
            </w:r>
          </w:p>
        </w:tc>
        <w:tc>
          <w:tcPr>
            <w:tcW w:w="7025" w:type="dxa"/>
          </w:tcPr>
          <w:p w14:paraId="0A63F5D2" w14:textId="77777777" w:rsidR="005D272A" w:rsidRPr="003E0761" w:rsidRDefault="005D272A" w:rsidP="002B06A1">
            <w:pPr>
              <w:rPr>
                <w:rFonts w:ascii="Times New Roman" w:hAnsi="Times New Roman"/>
                <w:sz w:val="24"/>
                <w:szCs w:val="24"/>
              </w:rPr>
            </w:pPr>
            <w:r w:rsidRPr="003E0761">
              <w:rPr>
                <w:rFonts w:ascii="Times New Roman" w:hAnsi="Times New Roman"/>
                <w:sz w:val="24"/>
                <w:szCs w:val="24"/>
              </w:rPr>
              <w:t>The overall score is the average of the scores of the categories mentioned above.</w:t>
            </w:r>
          </w:p>
        </w:tc>
      </w:tr>
    </w:tbl>
    <w:p w14:paraId="47D48E4C" w14:textId="77777777" w:rsidR="009D4FBD" w:rsidRDefault="009D4FBD" w:rsidP="005D272A"/>
    <w:p w14:paraId="4063D9F8" w14:textId="77777777" w:rsidR="005D272A" w:rsidRDefault="005D272A" w:rsidP="005D272A">
      <w:r>
        <w:t xml:space="preserve">In order to find potential </w:t>
      </w:r>
      <w:r w:rsidR="001A0E53">
        <w:t xml:space="preserve">risks </w:t>
      </w:r>
      <w:r>
        <w:t>of irregularities, Arachne matches the internal (EC) data subjects with the external (Orbis and WorldCompliance) data subjects in order to enrich the internal data and to calculate the corresponding risk indicators. The matching is performed on ‘cleaned’ names</w:t>
      </w:r>
      <w:r w:rsidR="00305DF0">
        <w:rPr>
          <w:rStyle w:val="FootnoteReference"/>
        </w:rPr>
        <w:footnoteReference w:id="4"/>
      </w:r>
      <w:r>
        <w:t xml:space="preserve">, VAT numbers, addresses and birthdates. An exact match means that both cleaned full names contain exactly the same words. When an exact match is not found for a name, a fuzzy (=approximate string) matching technique is applied. For the matching of personal names the birthdate of the person can help to improve the matching quality. The threshold for fuzzy matching can be lower when two names are similar and they share the exact same birthdate (same year, same month, and </w:t>
      </w:r>
      <w:r>
        <w:lastRenderedPageBreak/>
        <w:t>same day). No match will be made between entities that have available but different birthdates.</w:t>
      </w:r>
    </w:p>
    <w:p w14:paraId="51ADC932" w14:textId="77777777" w:rsidR="005D272A" w:rsidRDefault="005D272A" w:rsidP="005D272A">
      <w:r>
        <w:t xml:space="preserve">The risk identification of serious irregularities are detected through each project score category available under </w:t>
      </w:r>
      <w:r w:rsidRPr="004F05FE">
        <w:t>Historical Risk Indicators</w:t>
      </w:r>
      <w:r>
        <w:t>. By right-clicking on the score, you can find more information on how those indicators have been calculated, as well as the references and links used to calculate the given score. It</w:t>
      </w:r>
      <w:r w:rsidR="007C7B75">
        <w:t xml:space="preserve"> i</w:t>
      </w:r>
      <w:r w:rsidRPr="00EF5CEA">
        <w:t>s possible to display the evolution of risks for a speci</w:t>
      </w:r>
      <w:r>
        <w:t xml:space="preserve">fic entity in an overview graph, by choosing </w:t>
      </w:r>
      <w:r w:rsidRPr="00EF5CEA">
        <w:t>“Risk evolution”</w:t>
      </w:r>
      <w:r>
        <w:t xml:space="preserve"> from the contextual menu that can be expressed in weeks or months.</w:t>
      </w:r>
    </w:p>
    <w:p w14:paraId="130C75A8" w14:textId="77777777" w:rsidR="005D272A" w:rsidRDefault="005D272A" w:rsidP="005D272A">
      <w:r w:rsidRPr="00EF5CEA">
        <w:rPr>
          <w:noProof/>
          <w:lang w:val="en-IE" w:eastAsia="en-IE"/>
        </w:rPr>
        <w:drawing>
          <wp:inline distT="0" distB="0" distL="0" distR="0" wp14:anchorId="6E2B582F" wp14:editId="0FE2F831">
            <wp:extent cx="5472430" cy="26568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72430" cy="2656840"/>
                    </a:xfrm>
                    <a:prstGeom prst="rect">
                      <a:avLst/>
                    </a:prstGeom>
                  </pic:spPr>
                </pic:pic>
              </a:graphicData>
            </a:graphic>
          </wp:inline>
        </w:drawing>
      </w:r>
    </w:p>
    <w:p w14:paraId="600A767C" w14:textId="77777777" w:rsidR="005D272A" w:rsidRDefault="005D272A" w:rsidP="005D272A"/>
    <w:p w14:paraId="0C7065B1" w14:textId="77777777" w:rsidR="005D272A" w:rsidRPr="0019483A" w:rsidRDefault="005D272A" w:rsidP="0019483A">
      <w:pPr>
        <w:rPr>
          <w:b/>
        </w:rPr>
      </w:pPr>
      <w:r w:rsidRPr="0019483A">
        <w:rPr>
          <w:b/>
        </w:rPr>
        <w:t>Project analysis</w:t>
      </w:r>
    </w:p>
    <w:p w14:paraId="4EF9E754" w14:textId="77777777" w:rsidR="0019483A" w:rsidRDefault="0019483A" w:rsidP="005D272A">
      <w:r>
        <w:t xml:space="preserve">In </w:t>
      </w:r>
      <w:r w:rsidR="001A0E53">
        <w:t xml:space="preserve">order to help to identify and </w:t>
      </w:r>
      <w:r>
        <w:t xml:space="preserve">prevent irregularities, Arachne proposes different views, such as the Group view, to identify the risks associated to the projects, and shows the various links between companies and individuals. In the prevention of conflict of interest, the contracting authority could verify the links between companies before awarding a contract. The </w:t>
      </w:r>
      <w:r w:rsidRPr="00396481">
        <w:t>Group view</w:t>
      </w:r>
      <w:r>
        <w:t xml:space="preserve"> of a particular project displays information about how groups are linked together through their respective company legal links. The network composed of companies and legal links is processed by a clustering algorithm to discover sets of strongly linked companies. From there, companies belonging to these groups are linked to them through the membership relation. These memberships give the ability to detect common shareholders or subsidiaries, main shareholder of a group, as well as various group indicators. Those links can help identify potential cases of conflict of interest, fraud or corruption. Arachne also contains an ‘ex-ante’ module capable of analysing automatically these risks related to applicants. Member States can therefore choose to upload (automatically) the names and identification numbers of applicants and process it through the Arachne system. This avoids manual verifications and provides more targeted views on potential risks.</w:t>
      </w:r>
    </w:p>
    <w:p w14:paraId="642C6BE9" w14:textId="77777777" w:rsidR="005D272A" w:rsidRDefault="00527243" w:rsidP="00F23482">
      <w:r w:rsidRPr="00527243">
        <w:rPr>
          <w:noProof/>
          <w:lang w:val="en-IE" w:eastAsia="en-IE"/>
        </w:rPr>
        <w:lastRenderedPageBreak/>
        <w:drawing>
          <wp:inline distT="0" distB="0" distL="0" distR="0" wp14:anchorId="11581FAF" wp14:editId="7CC432AB">
            <wp:extent cx="5472430" cy="24923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72430" cy="2492375"/>
                    </a:xfrm>
                    <a:prstGeom prst="rect">
                      <a:avLst/>
                    </a:prstGeom>
                  </pic:spPr>
                </pic:pic>
              </a:graphicData>
            </a:graphic>
          </wp:inline>
        </w:drawing>
      </w:r>
    </w:p>
    <w:p w14:paraId="1734C727" w14:textId="77777777" w:rsidR="0019483A" w:rsidRDefault="0019483A" w:rsidP="0019483A">
      <w:r>
        <w:t>Project risk score evolution shows the top 10 of projects with the highest increase in overall (or selected category) risk score (if “increase” risk score selected) and the top 10 of projects with the highest decrease in overall (or selected category) risk score (if “decrease” risk score is selected).</w:t>
      </w:r>
    </w:p>
    <w:p w14:paraId="5EC8E028" w14:textId="77777777" w:rsidR="005D272A" w:rsidRPr="009D4FBD" w:rsidRDefault="005D272A" w:rsidP="009D4FBD">
      <w:pPr>
        <w:rPr>
          <w:b/>
        </w:rPr>
      </w:pPr>
      <w:r w:rsidRPr="009D4FBD">
        <w:rPr>
          <w:b/>
        </w:rPr>
        <w:t>Practical example of a case in Arachne</w:t>
      </w:r>
    </w:p>
    <w:p w14:paraId="5B4C5930" w14:textId="77777777" w:rsidR="005D272A" w:rsidRDefault="005D272A" w:rsidP="005D272A">
      <w:r>
        <w:t>In this first example of a project, we identify that the alert summary gives a low overall score of 23. However, we can already identify a high risk in the concentration risk individual score, denoted by the red score of 48. This will be the starting point of our analysis.</w:t>
      </w:r>
    </w:p>
    <w:p w14:paraId="1B066D8B" w14:textId="77777777" w:rsidR="005D272A" w:rsidRDefault="005D272A" w:rsidP="005D272A">
      <w:r w:rsidRPr="00FE4B6E">
        <w:rPr>
          <w:noProof/>
          <w:lang w:val="en-IE" w:eastAsia="en-IE"/>
        </w:rPr>
        <w:drawing>
          <wp:inline distT="0" distB="0" distL="0" distR="0" wp14:anchorId="0DD8CFDF" wp14:editId="51AB5A54">
            <wp:extent cx="4519930" cy="249493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27630" cy="2499180"/>
                    </a:xfrm>
                    <a:prstGeom prst="rect">
                      <a:avLst/>
                    </a:prstGeom>
                  </pic:spPr>
                </pic:pic>
              </a:graphicData>
            </a:graphic>
          </wp:inline>
        </w:drawing>
      </w:r>
    </w:p>
    <w:p w14:paraId="60A51E93" w14:textId="77777777" w:rsidR="005D272A" w:rsidRDefault="005D272A" w:rsidP="005D272A">
      <w:r>
        <w:t>When examining the origin of the overall score of 48, we can see that it is composed of the following red</w:t>
      </w:r>
      <w:r w:rsidR="005B0B53">
        <w:t xml:space="preserve"> indicators (“red </w:t>
      </w:r>
      <w:r>
        <w:t>flags</w:t>
      </w:r>
      <w:r w:rsidR="005B0B53">
        <w:t>”)</w:t>
      </w:r>
      <w:r>
        <w:t xml:space="preserve">: </w:t>
      </w:r>
      <w:r w:rsidRPr="00FE4B6E">
        <w:t>Beneficiaries involved in multiple projects</w:t>
      </w:r>
      <w:r>
        <w:t xml:space="preserve">, </w:t>
      </w:r>
      <w:r w:rsidRPr="00FE4B6E">
        <w:t>Beneficiaries involved in multiple Ops</w:t>
      </w:r>
      <w:r>
        <w:t xml:space="preserve">, </w:t>
      </w:r>
      <w:r w:rsidRPr="00FE4B6E">
        <w:t>Contractors involved in multiple projects</w:t>
      </w:r>
      <w:r>
        <w:t xml:space="preserve">, </w:t>
      </w:r>
      <w:r w:rsidRPr="00FE4B6E">
        <w:t>Contractors involved in multi</w:t>
      </w:r>
      <w:r>
        <w:t xml:space="preserve">ple projects of the beneficiary and </w:t>
      </w:r>
      <w:r w:rsidRPr="00FE4B6E">
        <w:t>Contractors involved in multiple Ops</w:t>
      </w:r>
      <w:r>
        <w:t xml:space="preserve">. These would need to be examined further by the implementing body or </w:t>
      </w:r>
      <w:r w:rsidR="00A90A8E">
        <w:t xml:space="preserve">national </w:t>
      </w:r>
      <w:r>
        <w:t>Authority.</w:t>
      </w:r>
    </w:p>
    <w:p w14:paraId="3992C645" w14:textId="77777777" w:rsidR="005D272A" w:rsidRDefault="005D272A" w:rsidP="005D272A">
      <w:r w:rsidRPr="00FE4B6E">
        <w:rPr>
          <w:noProof/>
          <w:lang w:val="en-IE" w:eastAsia="en-IE"/>
        </w:rPr>
        <w:lastRenderedPageBreak/>
        <w:drawing>
          <wp:inline distT="0" distB="0" distL="0" distR="0" wp14:anchorId="35B52AD3" wp14:editId="0238A01F">
            <wp:extent cx="5472430" cy="38836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72430" cy="3883660"/>
                    </a:xfrm>
                    <a:prstGeom prst="rect">
                      <a:avLst/>
                    </a:prstGeom>
                  </pic:spPr>
                </pic:pic>
              </a:graphicData>
            </a:graphic>
          </wp:inline>
        </w:drawing>
      </w:r>
    </w:p>
    <w:p w14:paraId="4ECD08E0" w14:textId="77777777" w:rsidR="005D272A" w:rsidRDefault="005B0B53" w:rsidP="005D272A">
      <w:r>
        <w:t xml:space="preserve">On closer inspection of the </w:t>
      </w:r>
      <w:r w:rsidR="005D272A">
        <w:t xml:space="preserve">first risk </w:t>
      </w:r>
      <w:r w:rsidR="00F23482">
        <w:t>indicator</w:t>
      </w:r>
      <w:r w:rsidR="005D272A">
        <w:t xml:space="preserve">, </w:t>
      </w:r>
      <w:r w:rsidR="00F23482">
        <w:t>b</w:t>
      </w:r>
      <w:r w:rsidR="005D272A" w:rsidRPr="00CB1B28">
        <w:t>eneficiaries involved in multiple projects</w:t>
      </w:r>
      <w:r w:rsidR="005D272A">
        <w:t xml:space="preserve">, Arachne </w:t>
      </w:r>
      <w:r>
        <w:t xml:space="preserve">provides </w:t>
      </w:r>
      <w:r w:rsidR="005D272A">
        <w:t xml:space="preserve">details about the beneficiaries involved in those projects, and </w:t>
      </w:r>
      <w:r>
        <w:t xml:space="preserve">thus helps to identify </w:t>
      </w:r>
      <w:r w:rsidR="005D272A">
        <w:t xml:space="preserve">the possible presence of double funding. Arachne gives the possibility to view beneficiaries that are involved in multiple projects in different Operational </w:t>
      </w:r>
      <w:r w:rsidR="007C7B75">
        <w:t>Programmes</w:t>
      </w:r>
      <w:r w:rsidR="005D272A">
        <w:t xml:space="preserve"> and in different European countries, which goes beyond the possible verifications at the Member State level.  </w:t>
      </w:r>
    </w:p>
    <w:p w14:paraId="2ADA61FA" w14:textId="77777777" w:rsidR="005D272A" w:rsidRDefault="005D272A" w:rsidP="005D272A">
      <w:r w:rsidRPr="00CB1B28">
        <w:rPr>
          <w:noProof/>
          <w:lang w:val="en-IE" w:eastAsia="en-IE"/>
        </w:rPr>
        <w:drawing>
          <wp:inline distT="0" distB="0" distL="0" distR="0" wp14:anchorId="516372F8" wp14:editId="6F3E664A">
            <wp:extent cx="5035550" cy="2069028"/>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039527" cy="2070662"/>
                    </a:xfrm>
                    <a:prstGeom prst="rect">
                      <a:avLst/>
                    </a:prstGeom>
                  </pic:spPr>
                </pic:pic>
              </a:graphicData>
            </a:graphic>
          </wp:inline>
        </w:drawing>
      </w:r>
    </w:p>
    <w:p w14:paraId="16ED7D2E" w14:textId="77777777" w:rsidR="005D272A" w:rsidRDefault="005B0B53" w:rsidP="005D272A">
      <w:r>
        <w:t xml:space="preserve">Considering the last item of the summary report, </w:t>
      </w:r>
      <w:r w:rsidR="005D272A">
        <w:t xml:space="preserve">the </w:t>
      </w:r>
      <w:r w:rsidR="005D272A" w:rsidRPr="00D55C4E">
        <w:t>Reputational &amp; Fraud Alerts Overall Score</w:t>
      </w:r>
      <w:r>
        <w:t xml:space="preserve"> shows that </w:t>
      </w:r>
      <w:r w:rsidR="005D272A">
        <w:t xml:space="preserve">even though </w:t>
      </w:r>
      <w:r>
        <w:t xml:space="preserve">the overall score is </w:t>
      </w:r>
      <w:r w:rsidR="005D272A">
        <w:t>a comparatively “low score” of 25</w:t>
      </w:r>
      <w:r>
        <w:t>, some individual risk categories can still be high and should be considered</w:t>
      </w:r>
      <w:r w:rsidR="005D272A">
        <w:t xml:space="preserve">. </w:t>
      </w:r>
      <w:r w:rsidR="00F23482">
        <w:t>In the screenshot</w:t>
      </w:r>
      <w:r>
        <w:t xml:space="preserve"> b</w:t>
      </w:r>
      <w:r w:rsidR="005D272A">
        <w:t xml:space="preserve">elow, the </w:t>
      </w:r>
      <w:r w:rsidR="008B0CAB">
        <w:t>indicator</w:t>
      </w:r>
      <w:r w:rsidR="005D272A">
        <w:t xml:space="preserve"> “</w:t>
      </w:r>
      <w:r w:rsidR="005D272A" w:rsidRPr="00E00FC2">
        <w:t>Registration of multiple companies on same address</w:t>
      </w:r>
      <w:r w:rsidR="005D272A">
        <w:t>”</w:t>
      </w:r>
      <w:r>
        <w:t xml:space="preserve"> (one of the pertinent </w:t>
      </w:r>
      <w:r w:rsidR="008B0CAB">
        <w:t>indicators</w:t>
      </w:r>
      <w:r>
        <w:t xml:space="preserve"> in the table above)</w:t>
      </w:r>
      <w:r w:rsidR="005D272A">
        <w:t xml:space="preserve"> </w:t>
      </w:r>
      <w:r>
        <w:t>appears</w:t>
      </w:r>
      <w:r w:rsidR="005D272A">
        <w:t xml:space="preserve"> in red, which means that it is recommended to be verified.</w:t>
      </w:r>
    </w:p>
    <w:p w14:paraId="2FE7FA85" w14:textId="77777777" w:rsidR="005D272A" w:rsidRDefault="005D272A" w:rsidP="005D272A">
      <w:r w:rsidRPr="00AF3081">
        <w:rPr>
          <w:noProof/>
          <w:lang w:val="en-IE" w:eastAsia="en-IE"/>
        </w:rPr>
        <w:lastRenderedPageBreak/>
        <w:drawing>
          <wp:inline distT="0" distB="0" distL="0" distR="0" wp14:anchorId="47E71FB1" wp14:editId="08B7980E">
            <wp:extent cx="5472430" cy="50609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72430" cy="5060950"/>
                    </a:xfrm>
                    <a:prstGeom prst="rect">
                      <a:avLst/>
                    </a:prstGeom>
                  </pic:spPr>
                </pic:pic>
              </a:graphicData>
            </a:graphic>
          </wp:inline>
        </w:drawing>
      </w:r>
    </w:p>
    <w:p w14:paraId="71828B9E" w14:textId="77777777" w:rsidR="005D272A" w:rsidRDefault="005D272A" w:rsidP="005D272A">
      <w:r>
        <w:t xml:space="preserve">Arachne </w:t>
      </w:r>
      <w:r w:rsidR="005B0B53">
        <w:t xml:space="preserve">provides </w:t>
      </w:r>
      <w:r>
        <w:t xml:space="preserve">us the information below, </w:t>
      </w:r>
      <w:r w:rsidR="005B0B53">
        <w:t xml:space="preserve">i.e. </w:t>
      </w:r>
      <w:r>
        <w:t xml:space="preserve">the number of companies registered at the same address and their respective roles in the project. This information could </w:t>
      </w:r>
      <w:r w:rsidR="005B0B53">
        <w:t xml:space="preserve">indicate a risk and </w:t>
      </w:r>
      <w:r>
        <w:t>the implementing body</w:t>
      </w:r>
      <w:r w:rsidR="005B0B53">
        <w:t xml:space="preserve"> may consider requesting further information or initiate</w:t>
      </w:r>
      <w:r w:rsidR="00F23482">
        <w:t xml:space="preserve"> </w:t>
      </w:r>
      <w:r>
        <w:t>an investigation by the national authorities before proceeding further.</w:t>
      </w:r>
    </w:p>
    <w:p w14:paraId="38331B4B" w14:textId="77777777" w:rsidR="005D272A" w:rsidRDefault="005D272A" w:rsidP="005D272A">
      <w:r w:rsidRPr="00E00FC2">
        <w:rPr>
          <w:noProof/>
          <w:lang w:val="en-IE" w:eastAsia="en-IE"/>
        </w:rPr>
        <w:drawing>
          <wp:inline distT="0" distB="0" distL="0" distR="0" wp14:anchorId="065100E5" wp14:editId="6C9C0052">
            <wp:extent cx="5472430" cy="206819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72430" cy="2068195"/>
                    </a:xfrm>
                    <a:prstGeom prst="rect">
                      <a:avLst/>
                    </a:prstGeom>
                  </pic:spPr>
                </pic:pic>
              </a:graphicData>
            </a:graphic>
          </wp:inline>
        </w:drawing>
      </w:r>
    </w:p>
    <w:p w14:paraId="1BAADF7E" w14:textId="77777777" w:rsidR="00B15457" w:rsidRPr="008546F8" w:rsidRDefault="00B15457"/>
    <w:sectPr w:rsidR="00B15457" w:rsidRPr="008546F8">
      <w:headerReference w:type="even" r:id="rId23"/>
      <w:headerReference w:type="default" r:id="rId24"/>
      <w:footerReference w:type="even" r:id="rId25"/>
      <w:footerReference w:type="default" r:id="rId26"/>
      <w:headerReference w:type="first" r:id="rId27"/>
      <w:footerReference w:type="first" r:id="rId28"/>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99781" w14:textId="77777777" w:rsidR="00D725E8" w:rsidRDefault="00D725E8">
      <w:pPr>
        <w:spacing w:after="0"/>
      </w:pPr>
      <w:r>
        <w:separator/>
      </w:r>
    </w:p>
  </w:endnote>
  <w:endnote w:type="continuationSeparator" w:id="0">
    <w:p w14:paraId="7B2DF1F1" w14:textId="77777777" w:rsidR="00D725E8" w:rsidRDefault="00D725E8">
      <w:pPr>
        <w:spacing w:after="0"/>
      </w:pPr>
      <w:r>
        <w:continuationSeparator/>
      </w:r>
    </w:p>
  </w:endnote>
  <w:endnote w:type="continuationNotice" w:id="1">
    <w:p w14:paraId="3811F711" w14:textId="77777777" w:rsidR="00D725E8" w:rsidRDefault="00D725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16D29" w14:textId="77777777" w:rsidR="001A0E53" w:rsidRDefault="001A0E53">
    <w:pPr>
      <w:pStyle w:val="FooterLine"/>
      <w:jc w:val="center"/>
    </w:pPr>
    <w:r>
      <w:fldChar w:fldCharType="begin"/>
    </w:r>
    <w:r>
      <w:instrText>PAGE   \* MERGEFORMAT</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9830B" w14:textId="4F34AF6E" w:rsidR="001A0E53" w:rsidRDefault="001A0E53">
    <w:pPr>
      <w:pStyle w:val="FooterLine"/>
      <w:jc w:val="center"/>
    </w:pPr>
    <w:r>
      <w:fldChar w:fldCharType="begin"/>
    </w:r>
    <w:r>
      <w:instrText>PAGE   \* MERGEFORMAT</w:instrText>
    </w:r>
    <w:r>
      <w:fldChar w:fldCharType="separate"/>
    </w:r>
    <w:r w:rsidR="006568E8">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ECA3E" w14:textId="77777777" w:rsidR="001A0E53" w:rsidRPr="009619BA" w:rsidRDefault="001A0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E5DF1" w14:textId="77777777" w:rsidR="00D725E8" w:rsidRDefault="00D725E8">
      <w:pPr>
        <w:spacing w:after="0"/>
      </w:pPr>
      <w:r>
        <w:separator/>
      </w:r>
    </w:p>
  </w:footnote>
  <w:footnote w:type="continuationSeparator" w:id="0">
    <w:p w14:paraId="00B4DBC5" w14:textId="77777777" w:rsidR="00D725E8" w:rsidRDefault="00D725E8">
      <w:pPr>
        <w:spacing w:after="0"/>
      </w:pPr>
      <w:r>
        <w:continuationSeparator/>
      </w:r>
    </w:p>
  </w:footnote>
  <w:footnote w:type="continuationNotice" w:id="1">
    <w:p w14:paraId="35A14A25" w14:textId="77777777" w:rsidR="00D725E8" w:rsidRDefault="00D725E8">
      <w:pPr>
        <w:spacing w:after="0"/>
      </w:pPr>
    </w:p>
  </w:footnote>
  <w:footnote w:id="2">
    <w:p w14:paraId="6FB8E3A8" w14:textId="77777777" w:rsidR="00783AB9" w:rsidRPr="00783AB9" w:rsidRDefault="00783AB9" w:rsidP="00EA6023">
      <w:pPr>
        <w:pStyle w:val="FootnoteText"/>
        <w:jc w:val="left"/>
      </w:pPr>
      <w:r>
        <w:rPr>
          <w:rStyle w:val="FootnoteReference"/>
        </w:rPr>
        <w:footnoteRef/>
      </w:r>
      <w:r>
        <w:tab/>
        <w:t xml:space="preserve">Please refer to the ARACHNE website </w:t>
      </w:r>
      <w:hyperlink r:id="rId1" w:history="1">
        <w:r w:rsidRPr="000304ED">
          <w:rPr>
            <w:rStyle w:val="Hyperlink"/>
          </w:rPr>
          <w:t>https://ec.europa.eu/social/main.jsp?catId=325&amp;intPageId=3587&amp;langId=en</w:t>
        </w:r>
      </w:hyperlink>
      <w:r>
        <w:rPr>
          <w:rStyle w:val="Hyperlink"/>
        </w:rPr>
        <w:t xml:space="preserve"> </w:t>
      </w:r>
      <w:r>
        <w:t xml:space="preserve">for more information or contact directly the ARACHNE support team at: </w:t>
      </w:r>
      <w:hyperlink r:id="rId2" w:history="1">
        <w:r w:rsidRPr="000304ED">
          <w:rPr>
            <w:rStyle w:val="Hyperlink"/>
          </w:rPr>
          <w:t>EC-DAC1-SECRETARIAT@ec.europa.eu</w:t>
        </w:r>
      </w:hyperlink>
    </w:p>
  </w:footnote>
  <w:footnote w:id="3">
    <w:p w14:paraId="23028A63" w14:textId="77777777" w:rsidR="0045694B" w:rsidRPr="00F23482" w:rsidRDefault="0045694B">
      <w:pPr>
        <w:pStyle w:val="FootnoteText"/>
        <w:rPr>
          <w:lang w:val="en-US"/>
        </w:rPr>
      </w:pPr>
      <w:r>
        <w:rPr>
          <w:rStyle w:val="FootnoteReference"/>
        </w:rPr>
        <w:footnoteRef/>
      </w:r>
      <w:r>
        <w:tab/>
        <w:t>These multiple Operational Programmes will also contain the RRF of the Member States, the EAFRD programmes where applicable, the HOME and MARE funds.</w:t>
      </w:r>
    </w:p>
  </w:footnote>
  <w:footnote w:id="4">
    <w:p w14:paraId="3383B03D" w14:textId="77777777" w:rsidR="00305DF0" w:rsidRPr="00305DF0" w:rsidRDefault="00305DF0" w:rsidP="00305DF0">
      <w:pPr>
        <w:pStyle w:val="FootnoteText"/>
      </w:pPr>
      <w:r>
        <w:rPr>
          <w:rStyle w:val="FootnoteReference"/>
        </w:rPr>
        <w:footnoteRef/>
      </w:r>
      <w:r>
        <w:t xml:space="preserve"> Names can differ between the two databases. Arachne creates a match between the names received from Orbis and the internal data received from MS</w:t>
      </w:r>
      <w:r w:rsidR="001C7A35">
        <w:t xml:space="preserve"> via ‘fuzzy matching’. This means that a comparison is made between the two names and if only a space o</w:t>
      </w:r>
      <w:r w:rsidR="00793FCC">
        <w:t>r</w:t>
      </w:r>
      <w:r w:rsidR="001C7A35">
        <w:t xml:space="preserve"> a typo would be the cause of the difference, Arachne will consider the names equal.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9110C" w14:textId="77777777" w:rsidR="00196CF1" w:rsidRDefault="00196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362B0" w14:textId="77777777" w:rsidR="001A0E53" w:rsidRDefault="001A0E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996B2" w14:textId="77777777" w:rsidR="00196CF1" w:rsidRDefault="00196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4B8"/>
    <w:multiLevelType w:val="hybridMultilevel"/>
    <w:tmpl w:val="98603E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50537"/>
    <w:multiLevelType w:val="hybridMultilevel"/>
    <w:tmpl w:val="38323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B3E48"/>
    <w:multiLevelType w:val="hybridMultilevel"/>
    <w:tmpl w:val="A260D03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4516F"/>
    <w:multiLevelType w:val="hybridMultilevel"/>
    <w:tmpl w:val="C6740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E0EFB"/>
    <w:multiLevelType w:val="hybridMultilevel"/>
    <w:tmpl w:val="EAD0D4B2"/>
    <w:lvl w:ilvl="0" w:tplc="2E3E7DF8">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2900F7"/>
    <w:multiLevelType w:val="multilevel"/>
    <w:tmpl w:val="9CA8599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0ABA3DE1"/>
    <w:multiLevelType w:val="hybridMultilevel"/>
    <w:tmpl w:val="68A626EA"/>
    <w:lvl w:ilvl="0" w:tplc="E24AD00A">
      <w:start w:val="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6B2F20"/>
    <w:multiLevelType w:val="hybridMultilevel"/>
    <w:tmpl w:val="7DD4A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FB7115"/>
    <w:multiLevelType w:val="multilevel"/>
    <w:tmpl w:val="9B96676A"/>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20B7201"/>
    <w:multiLevelType w:val="multilevel"/>
    <w:tmpl w:val="5F328EB6"/>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262685D"/>
    <w:multiLevelType w:val="multilevel"/>
    <w:tmpl w:val="83BEB000"/>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43D0A16"/>
    <w:multiLevelType w:val="multilevel"/>
    <w:tmpl w:val="4928E9B0"/>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172F0AC5"/>
    <w:multiLevelType w:val="multilevel"/>
    <w:tmpl w:val="1FF2D3D2"/>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17704ACF"/>
    <w:multiLevelType w:val="hybridMultilevel"/>
    <w:tmpl w:val="F2646F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BC3CBE"/>
    <w:multiLevelType w:val="hybridMultilevel"/>
    <w:tmpl w:val="11820C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455402"/>
    <w:multiLevelType w:val="hybridMultilevel"/>
    <w:tmpl w:val="27E87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5A1106"/>
    <w:multiLevelType w:val="hybridMultilevel"/>
    <w:tmpl w:val="FBF0A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7B624F"/>
    <w:multiLevelType w:val="multilevel"/>
    <w:tmpl w:val="79065612"/>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2A0702CE"/>
    <w:multiLevelType w:val="hybridMultilevel"/>
    <w:tmpl w:val="1A86F58A"/>
    <w:lvl w:ilvl="0" w:tplc="68749D68">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8DFDF8"/>
    <w:multiLevelType w:val="multilevel"/>
    <w:tmpl w:val="46C66F38"/>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2D293CE3"/>
    <w:multiLevelType w:val="multilevel"/>
    <w:tmpl w:val="1B90CBA6"/>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2D293CF4"/>
    <w:multiLevelType w:val="multilevel"/>
    <w:tmpl w:val="3CEC7D0E"/>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324536C6"/>
    <w:multiLevelType w:val="hybridMultilevel"/>
    <w:tmpl w:val="351E3052"/>
    <w:lvl w:ilvl="0" w:tplc="353A521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324F1E"/>
    <w:multiLevelType w:val="multilevel"/>
    <w:tmpl w:val="897AACF4"/>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36EA744D"/>
    <w:multiLevelType w:val="hybridMultilevel"/>
    <w:tmpl w:val="F9003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CB1E1C"/>
    <w:multiLevelType w:val="multilevel"/>
    <w:tmpl w:val="83B433C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38E02DC2"/>
    <w:multiLevelType w:val="hybridMultilevel"/>
    <w:tmpl w:val="5328AD18"/>
    <w:lvl w:ilvl="0" w:tplc="BF9A1EB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7730C4"/>
    <w:multiLevelType w:val="multilevel"/>
    <w:tmpl w:val="1C7C3BE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429E662A"/>
    <w:multiLevelType w:val="multilevel"/>
    <w:tmpl w:val="6E0AE3DC"/>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15:restartNumberingAfterBreak="0">
    <w:nsid w:val="44221560"/>
    <w:multiLevelType w:val="hybridMultilevel"/>
    <w:tmpl w:val="8CC2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B0393A"/>
    <w:multiLevelType w:val="hybridMultilevel"/>
    <w:tmpl w:val="EAD0D4B2"/>
    <w:lvl w:ilvl="0" w:tplc="2E3E7DF8">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B764C3"/>
    <w:multiLevelType w:val="hybridMultilevel"/>
    <w:tmpl w:val="AD0C47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224D2B"/>
    <w:multiLevelType w:val="hybridMultilevel"/>
    <w:tmpl w:val="5CA2101E"/>
    <w:lvl w:ilvl="0" w:tplc="983816CC">
      <w:start w:val="1"/>
      <w:numFmt w:val="bullet"/>
      <w:lvlText w:val="–"/>
      <w:lvlJc w:val="left"/>
      <w:pPr>
        <w:tabs>
          <w:tab w:val="num" w:pos="720"/>
        </w:tabs>
        <w:ind w:left="720" w:hanging="360"/>
      </w:pPr>
      <w:rPr>
        <w:rFonts w:ascii="Arial" w:hAnsi="Arial" w:hint="default"/>
      </w:rPr>
    </w:lvl>
    <w:lvl w:ilvl="1" w:tplc="E31C3406">
      <w:start w:val="1"/>
      <w:numFmt w:val="bullet"/>
      <w:lvlText w:val="–"/>
      <w:lvlJc w:val="left"/>
      <w:pPr>
        <w:tabs>
          <w:tab w:val="num" w:pos="1440"/>
        </w:tabs>
        <w:ind w:left="1440" w:hanging="360"/>
      </w:pPr>
      <w:rPr>
        <w:rFonts w:ascii="Arial" w:hAnsi="Arial" w:hint="default"/>
      </w:rPr>
    </w:lvl>
    <w:lvl w:ilvl="2" w:tplc="1370F5EA" w:tentative="1">
      <w:start w:val="1"/>
      <w:numFmt w:val="bullet"/>
      <w:lvlText w:val="–"/>
      <w:lvlJc w:val="left"/>
      <w:pPr>
        <w:tabs>
          <w:tab w:val="num" w:pos="2160"/>
        </w:tabs>
        <w:ind w:left="2160" w:hanging="360"/>
      </w:pPr>
      <w:rPr>
        <w:rFonts w:ascii="Arial" w:hAnsi="Arial" w:hint="default"/>
      </w:rPr>
    </w:lvl>
    <w:lvl w:ilvl="3" w:tplc="C394AE64" w:tentative="1">
      <w:start w:val="1"/>
      <w:numFmt w:val="bullet"/>
      <w:lvlText w:val="–"/>
      <w:lvlJc w:val="left"/>
      <w:pPr>
        <w:tabs>
          <w:tab w:val="num" w:pos="2880"/>
        </w:tabs>
        <w:ind w:left="2880" w:hanging="360"/>
      </w:pPr>
      <w:rPr>
        <w:rFonts w:ascii="Arial" w:hAnsi="Arial" w:hint="default"/>
      </w:rPr>
    </w:lvl>
    <w:lvl w:ilvl="4" w:tplc="E5CEA5CE" w:tentative="1">
      <w:start w:val="1"/>
      <w:numFmt w:val="bullet"/>
      <w:lvlText w:val="–"/>
      <w:lvlJc w:val="left"/>
      <w:pPr>
        <w:tabs>
          <w:tab w:val="num" w:pos="3600"/>
        </w:tabs>
        <w:ind w:left="3600" w:hanging="360"/>
      </w:pPr>
      <w:rPr>
        <w:rFonts w:ascii="Arial" w:hAnsi="Arial" w:hint="default"/>
      </w:rPr>
    </w:lvl>
    <w:lvl w:ilvl="5" w:tplc="57221756" w:tentative="1">
      <w:start w:val="1"/>
      <w:numFmt w:val="bullet"/>
      <w:lvlText w:val="–"/>
      <w:lvlJc w:val="left"/>
      <w:pPr>
        <w:tabs>
          <w:tab w:val="num" w:pos="4320"/>
        </w:tabs>
        <w:ind w:left="4320" w:hanging="360"/>
      </w:pPr>
      <w:rPr>
        <w:rFonts w:ascii="Arial" w:hAnsi="Arial" w:hint="default"/>
      </w:rPr>
    </w:lvl>
    <w:lvl w:ilvl="6" w:tplc="8C3A0A86" w:tentative="1">
      <w:start w:val="1"/>
      <w:numFmt w:val="bullet"/>
      <w:lvlText w:val="–"/>
      <w:lvlJc w:val="left"/>
      <w:pPr>
        <w:tabs>
          <w:tab w:val="num" w:pos="5040"/>
        </w:tabs>
        <w:ind w:left="5040" w:hanging="360"/>
      </w:pPr>
      <w:rPr>
        <w:rFonts w:ascii="Arial" w:hAnsi="Arial" w:hint="default"/>
      </w:rPr>
    </w:lvl>
    <w:lvl w:ilvl="7" w:tplc="0AB40ED4" w:tentative="1">
      <w:start w:val="1"/>
      <w:numFmt w:val="bullet"/>
      <w:lvlText w:val="–"/>
      <w:lvlJc w:val="left"/>
      <w:pPr>
        <w:tabs>
          <w:tab w:val="num" w:pos="5760"/>
        </w:tabs>
        <w:ind w:left="5760" w:hanging="360"/>
      </w:pPr>
      <w:rPr>
        <w:rFonts w:ascii="Arial" w:hAnsi="Arial" w:hint="default"/>
      </w:rPr>
    </w:lvl>
    <w:lvl w:ilvl="8" w:tplc="1E3C4C0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E1A982C"/>
    <w:multiLevelType w:val="multilevel"/>
    <w:tmpl w:val="4B7E928A"/>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4" w15:restartNumberingAfterBreak="0">
    <w:nsid w:val="5072619B"/>
    <w:multiLevelType w:val="multilevel"/>
    <w:tmpl w:val="F06C1AC0"/>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5" w15:restartNumberingAfterBreak="0">
    <w:nsid w:val="51B546E3"/>
    <w:multiLevelType w:val="hybridMultilevel"/>
    <w:tmpl w:val="570015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920099"/>
    <w:multiLevelType w:val="hybridMultilevel"/>
    <w:tmpl w:val="3A5EB0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45F7774"/>
    <w:multiLevelType w:val="hybridMultilevel"/>
    <w:tmpl w:val="BEC07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9F5EA8"/>
    <w:multiLevelType w:val="hybridMultilevel"/>
    <w:tmpl w:val="22F2EC00"/>
    <w:lvl w:ilvl="0" w:tplc="5FDACAF6">
      <w:start w:val="1"/>
      <w:numFmt w:val="bullet"/>
      <w:lvlText w:val="–"/>
      <w:lvlJc w:val="left"/>
      <w:pPr>
        <w:tabs>
          <w:tab w:val="num" w:pos="720"/>
        </w:tabs>
        <w:ind w:left="720" w:hanging="360"/>
      </w:pPr>
      <w:rPr>
        <w:rFonts w:ascii="Arial" w:hAnsi="Arial" w:hint="default"/>
      </w:rPr>
    </w:lvl>
    <w:lvl w:ilvl="1" w:tplc="CD70B76A">
      <w:start w:val="1"/>
      <w:numFmt w:val="bullet"/>
      <w:lvlText w:val="–"/>
      <w:lvlJc w:val="left"/>
      <w:pPr>
        <w:tabs>
          <w:tab w:val="num" w:pos="1440"/>
        </w:tabs>
        <w:ind w:left="1440" w:hanging="360"/>
      </w:pPr>
      <w:rPr>
        <w:rFonts w:ascii="Arial" w:hAnsi="Arial" w:hint="default"/>
      </w:rPr>
    </w:lvl>
    <w:lvl w:ilvl="2" w:tplc="0E4CDD82" w:tentative="1">
      <w:start w:val="1"/>
      <w:numFmt w:val="bullet"/>
      <w:lvlText w:val="–"/>
      <w:lvlJc w:val="left"/>
      <w:pPr>
        <w:tabs>
          <w:tab w:val="num" w:pos="2160"/>
        </w:tabs>
        <w:ind w:left="2160" w:hanging="360"/>
      </w:pPr>
      <w:rPr>
        <w:rFonts w:ascii="Arial" w:hAnsi="Arial" w:hint="default"/>
      </w:rPr>
    </w:lvl>
    <w:lvl w:ilvl="3" w:tplc="67CEE8B0" w:tentative="1">
      <w:start w:val="1"/>
      <w:numFmt w:val="bullet"/>
      <w:lvlText w:val="–"/>
      <w:lvlJc w:val="left"/>
      <w:pPr>
        <w:tabs>
          <w:tab w:val="num" w:pos="2880"/>
        </w:tabs>
        <w:ind w:left="2880" w:hanging="360"/>
      </w:pPr>
      <w:rPr>
        <w:rFonts w:ascii="Arial" w:hAnsi="Arial" w:hint="default"/>
      </w:rPr>
    </w:lvl>
    <w:lvl w:ilvl="4" w:tplc="51DA6A18" w:tentative="1">
      <w:start w:val="1"/>
      <w:numFmt w:val="bullet"/>
      <w:lvlText w:val="–"/>
      <w:lvlJc w:val="left"/>
      <w:pPr>
        <w:tabs>
          <w:tab w:val="num" w:pos="3600"/>
        </w:tabs>
        <w:ind w:left="3600" w:hanging="360"/>
      </w:pPr>
      <w:rPr>
        <w:rFonts w:ascii="Arial" w:hAnsi="Arial" w:hint="default"/>
      </w:rPr>
    </w:lvl>
    <w:lvl w:ilvl="5" w:tplc="9A5AE754" w:tentative="1">
      <w:start w:val="1"/>
      <w:numFmt w:val="bullet"/>
      <w:lvlText w:val="–"/>
      <w:lvlJc w:val="left"/>
      <w:pPr>
        <w:tabs>
          <w:tab w:val="num" w:pos="4320"/>
        </w:tabs>
        <w:ind w:left="4320" w:hanging="360"/>
      </w:pPr>
      <w:rPr>
        <w:rFonts w:ascii="Arial" w:hAnsi="Arial" w:hint="default"/>
      </w:rPr>
    </w:lvl>
    <w:lvl w:ilvl="6" w:tplc="37FAECE6" w:tentative="1">
      <w:start w:val="1"/>
      <w:numFmt w:val="bullet"/>
      <w:lvlText w:val="–"/>
      <w:lvlJc w:val="left"/>
      <w:pPr>
        <w:tabs>
          <w:tab w:val="num" w:pos="5040"/>
        </w:tabs>
        <w:ind w:left="5040" w:hanging="360"/>
      </w:pPr>
      <w:rPr>
        <w:rFonts w:ascii="Arial" w:hAnsi="Arial" w:hint="default"/>
      </w:rPr>
    </w:lvl>
    <w:lvl w:ilvl="7" w:tplc="CFEC1386" w:tentative="1">
      <w:start w:val="1"/>
      <w:numFmt w:val="bullet"/>
      <w:lvlText w:val="–"/>
      <w:lvlJc w:val="left"/>
      <w:pPr>
        <w:tabs>
          <w:tab w:val="num" w:pos="5760"/>
        </w:tabs>
        <w:ind w:left="5760" w:hanging="360"/>
      </w:pPr>
      <w:rPr>
        <w:rFonts w:ascii="Arial" w:hAnsi="Arial" w:hint="default"/>
      </w:rPr>
    </w:lvl>
    <w:lvl w:ilvl="8" w:tplc="6A221B4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D641707"/>
    <w:multiLevelType w:val="hybridMultilevel"/>
    <w:tmpl w:val="4C4C72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EB52347"/>
    <w:multiLevelType w:val="hybridMultilevel"/>
    <w:tmpl w:val="0A4C8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AC344D"/>
    <w:multiLevelType w:val="hybridMultilevel"/>
    <w:tmpl w:val="3FB46550"/>
    <w:lvl w:ilvl="0" w:tplc="BC5C96AE">
      <w:start w:val="29"/>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6977472E"/>
    <w:multiLevelType w:val="multilevel"/>
    <w:tmpl w:val="E9F88FEC"/>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3" w15:restartNumberingAfterBreak="0">
    <w:nsid w:val="6E0E5C28"/>
    <w:multiLevelType w:val="hybridMultilevel"/>
    <w:tmpl w:val="88FC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772D8F"/>
    <w:multiLevelType w:val="hybridMultilevel"/>
    <w:tmpl w:val="0A4C8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374D6F"/>
    <w:multiLevelType w:val="hybridMultilevel"/>
    <w:tmpl w:val="91E0B312"/>
    <w:lvl w:ilvl="0" w:tplc="E24AD00A">
      <w:start w:val="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65145E"/>
    <w:multiLevelType w:val="multilevel"/>
    <w:tmpl w:val="1E146E12"/>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47"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48" w15:restartNumberingAfterBreak="0">
    <w:nsid w:val="7E321CB0"/>
    <w:multiLevelType w:val="hybridMultilevel"/>
    <w:tmpl w:val="7128A7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21"/>
  </w:num>
  <w:num w:numId="3">
    <w:abstractNumId w:val="20"/>
  </w:num>
  <w:num w:numId="4">
    <w:abstractNumId w:val="46"/>
  </w:num>
  <w:num w:numId="5">
    <w:abstractNumId w:val="33"/>
  </w:num>
  <w:num w:numId="6">
    <w:abstractNumId w:val="27"/>
  </w:num>
  <w:num w:numId="7">
    <w:abstractNumId w:val="19"/>
  </w:num>
  <w:num w:numId="8">
    <w:abstractNumId w:val="11"/>
  </w:num>
  <w:num w:numId="9">
    <w:abstractNumId w:val="10"/>
  </w:num>
  <w:num w:numId="10">
    <w:abstractNumId w:val="9"/>
  </w:num>
  <w:num w:numId="11">
    <w:abstractNumId w:val="28"/>
  </w:num>
  <w:num w:numId="12">
    <w:abstractNumId w:val="12"/>
  </w:num>
  <w:num w:numId="13">
    <w:abstractNumId w:val="8"/>
  </w:num>
  <w:num w:numId="14">
    <w:abstractNumId w:val="42"/>
  </w:num>
  <w:num w:numId="15">
    <w:abstractNumId w:val="34"/>
  </w:num>
  <w:num w:numId="16">
    <w:abstractNumId w:val="25"/>
  </w:num>
  <w:num w:numId="17">
    <w:abstractNumId w:val="17"/>
  </w:num>
  <w:num w:numId="18">
    <w:abstractNumId w:val="23"/>
  </w:num>
  <w:num w:numId="19">
    <w:abstractNumId w:val="5"/>
  </w:num>
  <w:num w:numId="20">
    <w:abstractNumId w:val="32"/>
  </w:num>
  <w:num w:numId="21">
    <w:abstractNumId w:val="38"/>
  </w:num>
  <w:num w:numId="22">
    <w:abstractNumId w:val="45"/>
  </w:num>
  <w:num w:numId="23">
    <w:abstractNumId w:val="4"/>
  </w:num>
  <w:num w:numId="24">
    <w:abstractNumId w:val="6"/>
  </w:num>
  <w:num w:numId="25">
    <w:abstractNumId w:val="2"/>
  </w:num>
  <w:num w:numId="26">
    <w:abstractNumId w:val="43"/>
  </w:num>
  <w:num w:numId="27">
    <w:abstractNumId w:val="16"/>
  </w:num>
  <w:num w:numId="28">
    <w:abstractNumId w:val="3"/>
  </w:num>
  <w:num w:numId="29">
    <w:abstractNumId w:val="13"/>
  </w:num>
  <w:num w:numId="30">
    <w:abstractNumId w:val="26"/>
  </w:num>
  <w:num w:numId="31">
    <w:abstractNumId w:val="18"/>
  </w:num>
  <w:num w:numId="32">
    <w:abstractNumId w:val="44"/>
  </w:num>
  <w:num w:numId="33">
    <w:abstractNumId w:val="24"/>
  </w:num>
  <w:num w:numId="34">
    <w:abstractNumId w:val="14"/>
  </w:num>
  <w:num w:numId="35">
    <w:abstractNumId w:val="1"/>
  </w:num>
  <w:num w:numId="36">
    <w:abstractNumId w:val="22"/>
  </w:num>
  <w:num w:numId="37">
    <w:abstractNumId w:val="0"/>
  </w:num>
  <w:num w:numId="38">
    <w:abstractNumId w:val="36"/>
  </w:num>
  <w:num w:numId="39">
    <w:abstractNumId w:val="48"/>
  </w:num>
  <w:num w:numId="40">
    <w:abstractNumId w:val="31"/>
  </w:num>
  <w:num w:numId="41">
    <w:abstractNumId w:val="35"/>
  </w:num>
  <w:num w:numId="42">
    <w:abstractNumId w:val="7"/>
  </w:num>
  <w:num w:numId="43">
    <w:abstractNumId w:val="40"/>
  </w:num>
  <w:num w:numId="44">
    <w:abstractNumId w:val="37"/>
  </w:num>
  <w:num w:numId="45">
    <w:abstractNumId w:val="15"/>
  </w:num>
  <w:num w:numId="46">
    <w:abstractNumId w:val="30"/>
  </w:num>
  <w:num w:numId="47">
    <w:abstractNumId w:val="29"/>
  </w:num>
  <w:num w:numId="48">
    <w:abstractNumId w:val="41"/>
  </w:num>
  <w:num w:numId="49">
    <w:abstractNumId w:val="3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doNotDisplayPageBoundarie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748915C558F641F59FC242ECC61570F3"/>
  </w:docVars>
  <w:rsids>
    <w:rsidRoot w:val="00CA54D5"/>
    <w:rsid w:val="0000747C"/>
    <w:rsid w:val="000108B6"/>
    <w:rsid w:val="00011243"/>
    <w:rsid w:val="0001412F"/>
    <w:rsid w:val="000164E4"/>
    <w:rsid w:val="00016909"/>
    <w:rsid w:val="00030035"/>
    <w:rsid w:val="00033506"/>
    <w:rsid w:val="000342FA"/>
    <w:rsid w:val="000343D2"/>
    <w:rsid w:val="0003517D"/>
    <w:rsid w:val="00040CC5"/>
    <w:rsid w:val="000428AD"/>
    <w:rsid w:val="0004452E"/>
    <w:rsid w:val="00044ACE"/>
    <w:rsid w:val="00046377"/>
    <w:rsid w:val="000467EF"/>
    <w:rsid w:val="0004745E"/>
    <w:rsid w:val="000475CA"/>
    <w:rsid w:val="000526D9"/>
    <w:rsid w:val="0005698D"/>
    <w:rsid w:val="00056C0C"/>
    <w:rsid w:val="000626C1"/>
    <w:rsid w:val="00062E2C"/>
    <w:rsid w:val="000646AA"/>
    <w:rsid w:val="00065D26"/>
    <w:rsid w:val="000719DD"/>
    <w:rsid w:val="00074A68"/>
    <w:rsid w:val="00075B63"/>
    <w:rsid w:val="00075EC9"/>
    <w:rsid w:val="00081010"/>
    <w:rsid w:val="00081B0F"/>
    <w:rsid w:val="00081CAC"/>
    <w:rsid w:val="00082567"/>
    <w:rsid w:val="00085330"/>
    <w:rsid w:val="0009029D"/>
    <w:rsid w:val="00094F81"/>
    <w:rsid w:val="000958F6"/>
    <w:rsid w:val="00096029"/>
    <w:rsid w:val="000A6131"/>
    <w:rsid w:val="000A7024"/>
    <w:rsid w:val="000B002F"/>
    <w:rsid w:val="000B3229"/>
    <w:rsid w:val="000B7F7E"/>
    <w:rsid w:val="000C3520"/>
    <w:rsid w:val="000C5FDC"/>
    <w:rsid w:val="000D00B4"/>
    <w:rsid w:val="000D4E01"/>
    <w:rsid w:val="000E3946"/>
    <w:rsid w:val="000E58DE"/>
    <w:rsid w:val="000E60BB"/>
    <w:rsid w:val="000E6B29"/>
    <w:rsid w:val="000F2355"/>
    <w:rsid w:val="000F3F6E"/>
    <w:rsid w:val="000F61E3"/>
    <w:rsid w:val="00101660"/>
    <w:rsid w:val="00101B2A"/>
    <w:rsid w:val="00110CC3"/>
    <w:rsid w:val="00116379"/>
    <w:rsid w:val="001200C7"/>
    <w:rsid w:val="001202C3"/>
    <w:rsid w:val="0012195B"/>
    <w:rsid w:val="00123FC2"/>
    <w:rsid w:val="00124055"/>
    <w:rsid w:val="00126BF2"/>
    <w:rsid w:val="00126E6C"/>
    <w:rsid w:val="0013219D"/>
    <w:rsid w:val="00135195"/>
    <w:rsid w:val="00135457"/>
    <w:rsid w:val="00140CA3"/>
    <w:rsid w:val="00141DC9"/>
    <w:rsid w:val="001444B3"/>
    <w:rsid w:val="00144DC7"/>
    <w:rsid w:val="00146347"/>
    <w:rsid w:val="00150BFD"/>
    <w:rsid w:val="00152ABA"/>
    <w:rsid w:val="00160390"/>
    <w:rsid w:val="00162317"/>
    <w:rsid w:val="00164256"/>
    <w:rsid w:val="00166373"/>
    <w:rsid w:val="00167ABE"/>
    <w:rsid w:val="00172D66"/>
    <w:rsid w:val="00174155"/>
    <w:rsid w:val="00181469"/>
    <w:rsid w:val="00181D59"/>
    <w:rsid w:val="00185142"/>
    <w:rsid w:val="00186C3A"/>
    <w:rsid w:val="00186FC5"/>
    <w:rsid w:val="0018716C"/>
    <w:rsid w:val="001903A1"/>
    <w:rsid w:val="001908D5"/>
    <w:rsid w:val="00190F18"/>
    <w:rsid w:val="0019483A"/>
    <w:rsid w:val="00195263"/>
    <w:rsid w:val="00196CF1"/>
    <w:rsid w:val="001A0E53"/>
    <w:rsid w:val="001A2A94"/>
    <w:rsid w:val="001A7B92"/>
    <w:rsid w:val="001B2D5F"/>
    <w:rsid w:val="001B42D7"/>
    <w:rsid w:val="001B50ED"/>
    <w:rsid w:val="001C141F"/>
    <w:rsid w:val="001C6B21"/>
    <w:rsid w:val="001C7A35"/>
    <w:rsid w:val="001C7A59"/>
    <w:rsid w:val="001D3702"/>
    <w:rsid w:val="001D47FB"/>
    <w:rsid w:val="001D5B07"/>
    <w:rsid w:val="001D701F"/>
    <w:rsid w:val="001D7CFA"/>
    <w:rsid w:val="001F1714"/>
    <w:rsid w:val="001F2287"/>
    <w:rsid w:val="001F291C"/>
    <w:rsid w:val="001F357F"/>
    <w:rsid w:val="001F4C7D"/>
    <w:rsid w:val="001F7144"/>
    <w:rsid w:val="001F7A30"/>
    <w:rsid w:val="00200B5A"/>
    <w:rsid w:val="00200E81"/>
    <w:rsid w:val="00201757"/>
    <w:rsid w:val="00202A5A"/>
    <w:rsid w:val="00203A04"/>
    <w:rsid w:val="00207214"/>
    <w:rsid w:val="0021778F"/>
    <w:rsid w:val="002264C3"/>
    <w:rsid w:val="00234275"/>
    <w:rsid w:val="00237F65"/>
    <w:rsid w:val="00242490"/>
    <w:rsid w:val="002445CE"/>
    <w:rsid w:val="00250814"/>
    <w:rsid w:val="00252E55"/>
    <w:rsid w:val="002567FC"/>
    <w:rsid w:val="00261165"/>
    <w:rsid w:val="0028745E"/>
    <w:rsid w:val="0029262F"/>
    <w:rsid w:val="002B06A1"/>
    <w:rsid w:val="002B13C0"/>
    <w:rsid w:val="002B13E1"/>
    <w:rsid w:val="002B34F1"/>
    <w:rsid w:val="002B3AA7"/>
    <w:rsid w:val="002B3AF9"/>
    <w:rsid w:val="002B6061"/>
    <w:rsid w:val="002E10B7"/>
    <w:rsid w:val="002E234A"/>
    <w:rsid w:val="002F64CB"/>
    <w:rsid w:val="00302CDC"/>
    <w:rsid w:val="00305DF0"/>
    <w:rsid w:val="00307914"/>
    <w:rsid w:val="00311EF4"/>
    <w:rsid w:val="0031326F"/>
    <w:rsid w:val="0031474A"/>
    <w:rsid w:val="00317299"/>
    <w:rsid w:val="003173B9"/>
    <w:rsid w:val="00317A77"/>
    <w:rsid w:val="0032441F"/>
    <w:rsid w:val="00325A32"/>
    <w:rsid w:val="00327A2A"/>
    <w:rsid w:val="00331842"/>
    <w:rsid w:val="003321B7"/>
    <w:rsid w:val="00333DB7"/>
    <w:rsid w:val="00337BDF"/>
    <w:rsid w:val="003401A8"/>
    <w:rsid w:val="003434A3"/>
    <w:rsid w:val="00350531"/>
    <w:rsid w:val="00351506"/>
    <w:rsid w:val="003605DB"/>
    <w:rsid w:val="00363E8D"/>
    <w:rsid w:val="003662C4"/>
    <w:rsid w:val="00372563"/>
    <w:rsid w:val="0037474F"/>
    <w:rsid w:val="00377EFB"/>
    <w:rsid w:val="00392B49"/>
    <w:rsid w:val="00392D7D"/>
    <w:rsid w:val="00396481"/>
    <w:rsid w:val="003A0C50"/>
    <w:rsid w:val="003A160C"/>
    <w:rsid w:val="003B05F6"/>
    <w:rsid w:val="003B3087"/>
    <w:rsid w:val="003B384A"/>
    <w:rsid w:val="003D19C3"/>
    <w:rsid w:val="003E0761"/>
    <w:rsid w:val="003E2ECC"/>
    <w:rsid w:val="004011E9"/>
    <w:rsid w:val="0040736B"/>
    <w:rsid w:val="00415431"/>
    <w:rsid w:val="00416384"/>
    <w:rsid w:val="004163A3"/>
    <w:rsid w:val="004165C3"/>
    <w:rsid w:val="004173C1"/>
    <w:rsid w:val="00420EFC"/>
    <w:rsid w:val="00421F68"/>
    <w:rsid w:val="00422222"/>
    <w:rsid w:val="00422D6D"/>
    <w:rsid w:val="00424D45"/>
    <w:rsid w:val="004277CC"/>
    <w:rsid w:val="00427D11"/>
    <w:rsid w:val="00430A64"/>
    <w:rsid w:val="0043301E"/>
    <w:rsid w:val="00434052"/>
    <w:rsid w:val="00434B41"/>
    <w:rsid w:val="00437AA3"/>
    <w:rsid w:val="004459CE"/>
    <w:rsid w:val="0044648B"/>
    <w:rsid w:val="00446CA7"/>
    <w:rsid w:val="0045037B"/>
    <w:rsid w:val="00450F38"/>
    <w:rsid w:val="00450F95"/>
    <w:rsid w:val="0045378A"/>
    <w:rsid w:val="00454643"/>
    <w:rsid w:val="004551B5"/>
    <w:rsid w:val="0045694B"/>
    <w:rsid w:val="00457E67"/>
    <w:rsid w:val="004648FF"/>
    <w:rsid w:val="004674D8"/>
    <w:rsid w:val="00470E28"/>
    <w:rsid w:val="00474D7E"/>
    <w:rsid w:val="00476CEB"/>
    <w:rsid w:val="00480E57"/>
    <w:rsid w:val="00483584"/>
    <w:rsid w:val="0049087F"/>
    <w:rsid w:val="00492141"/>
    <w:rsid w:val="00494F47"/>
    <w:rsid w:val="004956AC"/>
    <w:rsid w:val="004958A4"/>
    <w:rsid w:val="00496E6A"/>
    <w:rsid w:val="00497861"/>
    <w:rsid w:val="004A00BD"/>
    <w:rsid w:val="004A07F5"/>
    <w:rsid w:val="004A4E79"/>
    <w:rsid w:val="004A4ED3"/>
    <w:rsid w:val="004A651D"/>
    <w:rsid w:val="004A68F9"/>
    <w:rsid w:val="004A7F4A"/>
    <w:rsid w:val="004B15B2"/>
    <w:rsid w:val="004B3877"/>
    <w:rsid w:val="004B6FE8"/>
    <w:rsid w:val="004C0183"/>
    <w:rsid w:val="004C3EF5"/>
    <w:rsid w:val="004C43E9"/>
    <w:rsid w:val="004C52A8"/>
    <w:rsid w:val="004C53AC"/>
    <w:rsid w:val="004D3DF0"/>
    <w:rsid w:val="004D4909"/>
    <w:rsid w:val="004D4EC8"/>
    <w:rsid w:val="004D73AD"/>
    <w:rsid w:val="004E107F"/>
    <w:rsid w:val="004E172E"/>
    <w:rsid w:val="004E39CA"/>
    <w:rsid w:val="004E3F85"/>
    <w:rsid w:val="004E4438"/>
    <w:rsid w:val="004E65F5"/>
    <w:rsid w:val="004E7ED8"/>
    <w:rsid w:val="004F04E8"/>
    <w:rsid w:val="004F05FE"/>
    <w:rsid w:val="004F280B"/>
    <w:rsid w:val="004F2E5F"/>
    <w:rsid w:val="004F5F3D"/>
    <w:rsid w:val="0050517B"/>
    <w:rsid w:val="00505581"/>
    <w:rsid w:val="00507B86"/>
    <w:rsid w:val="00510318"/>
    <w:rsid w:val="005139F3"/>
    <w:rsid w:val="0051684C"/>
    <w:rsid w:val="00517191"/>
    <w:rsid w:val="00517984"/>
    <w:rsid w:val="00520F70"/>
    <w:rsid w:val="00525323"/>
    <w:rsid w:val="00525CA1"/>
    <w:rsid w:val="00527243"/>
    <w:rsid w:val="0052726B"/>
    <w:rsid w:val="00530308"/>
    <w:rsid w:val="0054709C"/>
    <w:rsid w:val="0054726D"/>
    <w:rsid w:val="00550811"/>
    <w:rsid w:val="005568FD"/>
    <w:rsid w:val="00556C42"/>
    <w:rsid w:val="00562E9A"/>
    <w:rsid w:val="00563DA5"/>
    <w:rsid w:val="00565101"/>
    <w:rsid w:val="005664FB"/>
    <w:rsid w:val="00573EA9"/>
    <w:rsid w:val="005778C9"/>
    <w:rsid w:val="00584791"/>
    <w:rsid w:val="00590BDD"/>
    <w:rsid w:val="00590C69"/>
    <w:rsid w:val="00593C7E"/>
    <w:rsid w:val="00595BD8"/>
    <w:rsid w:val="005A0B45"/>
    <w:rsid w:val="005A1753"/>
    <w:rsid w:val="005A2E36"/>
    <w:rsid w:val="005A3579"/>
    <w:rsid w:val="005A3E8D"/>
    <w:rsid w:val="005A4D18"/>
    <w:rsid w:val="005A4F8F"/>
    <w:rsid w:val="005A4FEC"/>
    <w:rsid w:val="005A6290"/>
    <w:rsid w:val="005B08B4"/>
    <w:rsid w:val="005B0B53"/>
    <w:rsid w:val="005B24BA"/>
    <w:rsid w:val="005B2BF6"/>
    <w:rsid w:val="005B7206"/>
    <w:rsid w:val="005C3130"/>
    <w:rsid w:val="005C6C92"/>
    <w:rsid w:val="005D1793"/>
    <w:rsid w:val="005D272A"/>
    <w:rsid w:val="005E2C5B"/>
    <w:rsid w:val="005E3476"/>
    <w:rsid w:val="005E4AA3"/>
    <w:rsid w:val="005E7A1F"/>
    <w:rsid w:val="005F2F6E"/>
    <w:rsid w:val="005F3A25"/>
    <w:rsid w:val="005F4526"/>
    <w:rsid w:val="005F6993"/>
    <w:rsid w:val="005F6FE9"/>
    <w:rsid w:val="005F74A2"/>
    <w:rsid w:val="006019E1"/>
    <w:rsid w:val="006073A4"/>
    <w:rsid w:val="00610FB4"/>
    <w:rsid w:val="00612BD4"/>
    <w:rsid w:val="006203B5"/>
    <w:rsid w:val="006216F5"/>
    <w:rsid w:val="00626C19"/>
    <w:rsid w:val="00634B14"/>
    <w:rsid w:val="0063664B"/>
    <w:rsid w:val="00636E83"/>
    <w:rsid w:val="006470B3"/>
    <w:rsid w:val="00653131"/>
    <w:rsid w:val="00653DAE"/>
    <w:rsid w:val="00656779"/>
    <w:rsid w:val="006568E8"/>
    <w:rsid w:val="00656C2E"/>
    <w:rsid w:val="0066104F"/>
    <w:rsid w:val="006614E5"/>
    <w:rsid w:val="00663051"/>
    <w:rsid w:val="0066623E"/>
    <w:rsid w:val="00671302"/>
    <w:rsid w:val="006718BA"/>
    <w:rsid w:val="00672F77"/>
    <w:rsid w:val="0067449A"/>
    <w:rsid w:val="006759E5"/>
    <w:rsid w:val="006779DC"/>
    <w:rsid w:val="00680FCA"/>
    <w:rsid w:val="00686540"/>
    <w:rsid w:val="0069153C"/>
    <w:rsid w:val="00691E2F"/>
    <w:rsid w:val="006924AE"/>
    <w:rsid w:val="00694F12"/>
    <w:rsid w:val="00695A1F"/>
    <w:rsid w:val="00695C0C"/>
    <w:rsid w:val="006972E0"/>
    <w:rsid w:val="006A1480"/>
    <w:rsid w:val="006A1D51"/>
    <w:rsid w:val="006A2E84"/>
    <w:rsid w:val="006A3657"/>
    <w:rsid w:val="006A3C15"/>
    <w:rsid w:val="006A4232"/>
    <w:rsid w:val="006B2B7E"/>
    <w:rsid w:val="006C6753"/>
    <w:rsid w:val="006D3F14"/>
    <w:rsid w:val="006D3F2B"/>
    <w:rsid w:val="006D4543"/>
    <w:rsid w:val="006D4668"/>
    <w:rsid w:val="006D5A5D"/>
    <w:rsid w:val="006D5E76"/>
    <w:rsid w:val="006D5F13"/>
    <w:rsid w:val="006E3595"/>
    <w:rsid w:val="006E3E12"/>
    <w:rsid w:val="006E6343"/>
    <w:rsid w:val="006F054F"/>
    <w:rsid w:val="006F357D"/>
    <w:rsid w:val="006F3DF4"/>
    <w:rsid w:val="007019F8"/>
    <w:rsid w:val="0070749A"/>
    <w:rsid w:val="007127B6"/>
    <w:rsid w:val="0073109C"/>
    <w:rsid w:val="00731F5D"/>
    <w:rsid w:val="00732115"/>
    <w:rsid w:val="00732285"/>
    <w:rsid w:val="00754CBC"/>
    <w:rsid w:val="0076183E"/>
    <w:rsid w:val="007624ED"/>
    <w:rsid w:val="00766191"/>
    <w:rsid w:val="007667F6"/>
    <w:rsid w:val="00770A55"/>
    <w:rsid w:val="00783AB9"/>
    <w:rsid w:val="00784B10"/>
    <w:rsid w:val="007864A7"/>
    <w:rsid w:val="007930B4"/>
    <w:rsid w:val="00793FCC"/>
    <w:rsid w:val="007B16A2"/>
    <w:rsid w:val="007B4415"/>
    <w:rsid w:val="007C1172"/>
    <w:rsid w:val="007C2B89"/>
    <w:rsid w:val="007C4E4B"/>
    <w:rsid w:val="007C77DD"/>
    <w:rsid w:val="007C7B75"/>
    <w:rsid w:val="007D0C41"/>
    <w:rsid w:val="007D407B"/>
    <w:rsid w:val="007D7747"/>
    <w:rsid w:val="007D7E64"/>
    <w:rsid w:val="007E111D"/>
    <w:rsid w:val="007E2427"/>
    <w:rsid w:val="007E5DEC"/>
    <w:rsid w:val="007E76D5"/>
    <w:rsid w:val="007F4764"/>
    <w:rsid w:val="0080096C"/>
    <w:rsid w:val="00800B1C"/>
    <w:rsid w:val="008043BE"/>
    <w:rsid w:val="00810851"/>
    <w:rsid w:val="008149B2"/>
    <w:rsid w:val="00823340"/>
    <w:rsid w:val="00826EBC"/>
    <w:rsid w:val="00827EE9"/>
    <w:rsid w:val="00842E4A"/>
    <w:rsid w:val="008451BF"/>
    <w:rsid w:val="008459AD"/>
    <w:rsid w:val="0084727C"/>
    <w:rsid w:val="008478AC"/>
    <w:rsid w:val="00850596"/>
    <w:rsid w:val="008546F8"/>
    <w:rsid w:val="00862EB6"/>
    <w:rsid w:val="00864E1B"/>
    <w:rsid w:val="00865E3F"/>
    <w:rsid w:val="008761AB"/>
    <w:rsid w:val="00877073"/>
    <w:rsid w:val="00881148"/>
    <w:rsid w:val="0088283A"/>
    <w:rsid w:val="00890865"/>
    <w:rsid w:val="00894E48"/>
    <w:rsid w:val="00895D12"/>
    <w:rsid w:val="008965F8"/>
    <w:rsid w:val="008A013F"/>
    <w:rsid w:val="008A0A80"/>
    <w:rsid w:val="008A2CA6"/>
    <w:rsid w:val="008A3F82"/>
    <w:rsid w:val="008A6FE5"/>
    <w:rsid w:val="008B0CAB"/>
    <w:rsid w:val="008B7204"/>
    <w:rsid w:val="008C380E"/>
    <w:rsid w:val="008C4133"/>
    <w:rsid w:val="008E042B"/>
    <w:rsid w:val="008E2573"/>
    <w:rsid w:val="008E2D2C"/>
    <w:rsid w:val="008E415E"/>
    <w:rsid w:val="008E41F0"/>
    <w:rsid w:val="008E52B2"/>
    <w:rsid w:val="008E5B2F"/>
    <w:rsid w:val="008F0433"/>
    <w:rsid w:val="008F3306"/>
    <w:rsid w:val="008F6DB2"/>
    <w:rsid w:val="0090242E"/>
    <w:rsid w:val="00903FA6"/>
    <w:rsid w:val="0090400D"/>
    <w:rsid w:val="009052B7"/>
    <w:rsid w:val="00922AB7"/>
    <w:rsid w:val="009300BF"/>
    <w:rsid w:val="0093039F"/>
    <w:rsid w:val="009323B2"/>
    <w:rsid w:val="00932432"/>
    <w:rsid w:val="00932512"/>
    <w:rsid w:val="00932B99"/>
    <w:rsid w:val="00934702"/>
    <w:rsid w:val="0093546D"/>
    <w:rsid w:val="00937EE2"/>
    <w:rsid w:val="00942559"/>
    <w:rsid w:val="009434C5"/>
    <w:rsid w:val="009452AC"/>
    <w:rsid w:val="0094723A"/>
    <w:rsid w:val="009573D5"/>
    <w:rsid w:val="00961030"/>
    <w:rsid w:val="009619BA"/>
    <w:rsid w:val="00963310"/>
    <w:rsid w:val="009636AC"/>
    <w:rsid w:val="00964574"/>
    <w:rsid w:val="0096491F"/>
    <w:rsid w:val="00966436"/>
    <w:rsid w:val="009712F8"/>
    <w:rsid w:val="009716AE"/>
    <w:rsid w:val="0097264A"/>
    <w:rsid w:val="0097271C"/>
    <w:rsid w:val="009730B1"/>
    <w:rsid w:val="00973451"/>
    <w:rsid w:val="00976375"/>
    <w:rsid w:val="009846C9"/>
    <w:rsid w:val="00986F94"/>
    <w:rsid w:val="009A218B"/>
    <w:rsid w:val="009B121D"/>
    <w:rsid w:val="009B222B"/>
    <w:rsid w:val="009B2341"/>
    <w:rsid w:val="009B3365"/>
    <w:rsid w:val="009B4945"/>
    <w:rsid w:val="009C2F1E"/>
    <w:rsid w:val="009D0634"/>
    <w:rsid w:val="009D4B67"/>
    <w:rsid w:val="009D4FBD"/>
    <w:rsid w:val="009D5E97"/>
    <w:rsid w:val="009D7E8B"/>
    <w:rsid w:val="009F50B6"/>
    <w:rsid w:val="009F548A"/>
    <w:rsid w:val="009F76C4"/>
    <w:rsid w:val="00A032E9"/>
    <w:rsid w:val="00A05F2B"/>
    <w:rsid w:val="00A10793"/>
    <w:rsid w:val="00A10BD4"/>
    <w:rsid w:val="00A12A35"/>
    <w:rsid w:val="00A14143"/>
    <w:rsid w:val="00A25138"/>
    <w:rsid w:val="00A25B23"/>
    <w:rsid w:val="00A305CB"/>
    <w:rsid w:val="00A336F9"/>
    <w:rsid w:val="00A348C7"/>
    <w:rsid w:val="00A4094E"/>
    <w:rsid w:val="00A40D69"/>
    <w:rsid w:val="00A43BDB"/>
    <w:rsid w:val="00A46D67"/>
    <w:rsid w:val="00A470CC"/>
    <w:rsid w:val="00A50EE4"/>
    <w:rsid w:val="00A560BB"/>
    <w:rsid w:val="00A64ADB"/>
    <w:rsid w:val="00A65B36"/>
    <w:rsid w:val="00A65CF5"/>
    <w:rsid w:val="00A66AAE"/>
    <w:rsid w:val="00A67DEA"/>
    <w:rsid w:val="00A71511"/>
    <w:rsid w:val="00A71EE2"/>
    <w:rsid w:val="00A72B25"/>
    <w:rsid w:val="00A82113"/>
    <w:rsid w:val="00A86EB3"/>
    <w:rsid w:val="00A87CE6"/>
    <w:rsid w:val="00A90A12"/>
    <w:rsid w:val="00A90A8E"/>
    <w:rsid w:val="00A9293A"/>
    <w:rsid w:val="00A9328B"/>
    <w:rsid w:val="00A93E6F"/>
    <w:rsid w:val="00A95463"/>
    <w:rsid w:val="00A96F4C"/>
    <w:rsid w:val="00AA11CB"/>
    <w:rsid w:val="00AA467F"/>
    <w:rsid w:val="00AA5ED3"/>
    <w:rsid w:val="00AB0D77"/>
    <w:rsid w:val="00AB2316"/>
    <w:rsid w:val="00AC1196"/>
    <w:rsid w:val="00AC29DB"/>
    <w:rsid w:val="00AD6718"/>
    <w:rsid w:val="00AE0C5F"/>
    <w:rsid w:val="00AE237C"/>
    <w:rsid w:val="00AE7C0F"/>
    <w:rsid w:val="00AF3081"/>
    <w:rsid w:val="00AF4FC9"/>
    <w:rsid w:val="00AF5BDE"/>
    <w:rsid w:val="00B002CB"/>
    <w:rsid w:val="00B004E2"/>
    <w:rsid w:val="00B00D08"/>
    <w:rsid w:val="00B05962"/>
    <w:rsid w:val="00B140A2"/>
    <w:rsid w:val="00B15457"/>
    <w:rsid w:val="00B22659"/>
    <w:rsid w:val="00B25D90"/>
    <w:rsid w:val="00B25EAA"/>
    <w:rsid w:val="00B2615C"/>
    <w:rsid w:val="00B30C53"/>
    <w:rsid w:val="00B34C3F"/>
    <w:rsid w:val="00B41C24"/>
    <w:rsid w:val="00B4315E"/>
    <w:rsid w:val="00B46FB6"/>
    <w:rsid w:val="00B53294"/>
    <w:rsid w:val="00B60B97"/>
    <w:rsid w:val="00B66835"/>
    <w:rsid w:val="00B80A3B"/>
    <w:rsid w:val="00B8511B"/>
    <w:rsid w:val="00B96819"/>
    <w:rsid w:val="00B9685D"/>
    <w:rsid w:val="00BA0455"/>
    <w:rsid w:val="00BA2C0C"/>
    <w:rsid w:val="00BA5E68"/>
    <w:rsid w:val="00BC317D"/>
    <w:rsid w:val="00BC4B3A"/>
    <w:rsid w:val="00BD1136"/>
    <w:rsid w:val="00BD3465"/>
    <w:rsid w:val="00BD643C"/>
    <w:rsid w:val="00BE038D"/>
    <w:rsid w:val="00BE0412"/>
    <w:rsid w:val="00BE5C06"/>
    <w:rsid w:val="00BE6742"/>
    <w:rsid w:val="00BE699E"/>
    <w:rsid w:val="00BF3947"/>
    <w:rsid w:val="00BF4619"/>
    <w:rsid w:val="00C04527"/>
    <w:rsid w:val="00C12ED0"/>
    <w:rsid w:val="00C21B8A"/>
    <w:rsid w:val="00C25D21"/>
    <w:rsid w:val="00C26C98"/>
    <w:rsid w:val="00C3030E"/>
    <w:rsid w:val="00C32982"/>
    <w:rsid w:val="00C32BE9"/>
    <w:rsid w:val="00C33085"/>
    <w:rsid w:val="00C34914"/>
    <w:rsid w:val="00C378C3"/>
    <w:rsid w:val="00C45BC8"/>
    <w:rsid w:val="00C55BBC"/>
    <w:rsid w:val="00C55EED"/>
    <w:rsid w:val="00C60A7E"/>
    <w:rsid w:val="00C65A01"/>
    <w:rsid w:val="00C66D27"/>
    <w:rsid w:val="00C67339"/>
    <w:rsid w:val="00C707F3"/>
    <w:rsid w:val="00C70B28"/>
    <w:rsid w:val="00C7104A"/>
    <w:rsid w:val="00C7167E"/>
    <w:rsid w:val="00C716F5"/>
    <w:rsid w:val="00C74820"/>
    <w:rsid w:val="00C74E2C"/>
    <w:rsid w:val="00C76D33"/>
    <w:rsid w:val="00C81AB2"/>
    <w:rsid w:val="00C82FB2"/>
    <w:rsid w:val="00C834CD"/>
    <w:rsid w:val="00C85C81"/>
    <w:rsid w:val="00C86C99"/>
    <w:rsid w:val="00C91AC8"/>
    <w:rsid w:val="00CA1191"/>
    <w:rsid w:val="00CA302F"/>
    <w:rsid w:val="00CA4C0A"/>
    <w:rsid w:val="00CA4DE5"/>
    <w:rsid w:val="00CA54D5"/>
    <w:rsid w:val="00CA5FD8"/>
    <w:rsid w:val="00CA7314"/>
    <w:rsid w:val="00CB1B28"/>
    <w:rsid w:val="00CB3441"/>
    <w:rsid w:val="00CC2B79"/>
    <w:rsid w:val="00CC40C6"/>
    <w:rsid w:val="00CD583A"/>
    <w:rsid w:val="00CD7802"/>
    <w:rsid w:val="00CE3DA1"/>
    <w:rsid w:val="00CE4B37"/>
    <w:rsid w:val="00CE71D5"/>
    <w:rsid w:val="00CF2CF7"/>
    <w:rsid w:val="00CF321A"/>
    <w:rsid w:val="00CF3D67"/>
    <w:rsid w:val="00CF4F62"/>
    <w:rsid w:val="00D05506"/>
    <w:rsid w:val="00D11E6D"/>
    <w:rsid w:val="00D1241D"/>
    <w:rsid w:val="00D13DA8"/>
    <w:rsid w:val="00D15385"/>
    <w:rsid w:val="00D1652E"/>
    <w:rsid w:val="00D35A55"/>
    <w:rsid w:val="00D42210"/>
    <w:rsid w:val="00D45B4B"/>
    <w:rsid w:val="00D50132"/>
    <w:rsid w:val="00D52189"/>
    <w:rsid w:val="00D55C4E"/>
    <w:rsid w:val="00D57CBD"/>
    <w:rsid w:val="00D6460D"/>
    <w:rsid w:val="00D6586A"/>
    <w:rsid w:val="00D6615E"/>
    <w:rsid w:val="00D70FBA"/>
    <w:rsid w:val="00D710AC"/>
    <w:rsid w:val="00D72091"/>
    <w:rsid w:val="00D725E8"/>
    <w:rsid w:val="00D843AE"/>
    <w:rsid w:val="00D86E88"/>
    <w:rsid w:val="00DA58D9"/>
    <w:rsid w:val="00DA6F07"/>
    <w:rsid w:val="00DC4737"/>
    <w:rsid w:val="00DC75DD"/>
    <w:rsid w:val="00DC78E5"/>
    <w:rsid w:val="00DD19B0"/>
    <w:rsid w:val="00DD6DAF"/>
    <w:rsid w:val="00DE3E2A"/>
    <w:rsid w:val="00DE5C39"/>
    <w:rsid w:val="00DE5EAB"/>
    <w:rsid w:val="00DE6EE8"/>
    <w:rsid w:val="00E00FC2"/>
    <w:rsid w:val="00E01DBD"/>
    <w:rsid w:val="00E02675"/>
    <w:rsid w:val="00E05ED4"/>
    <w:rsid w:val="00E07672"/>
    <w:rsid w:val="00E100B4"/>
    <w:rsid w:val="00E13189"/>
    <w:rsid w:val="00E16962"/>
    <w:rsid w:val="00E21473"/>
    <w:rsid w:val="00E22C67"/>
    <w:rsid w:val="00E23024"/>
    <w:rsid w:val="00E269F8"/>
    <w:rsid w:val="00E27DB8"/>
    <w:rsid w:val="00E3046D"/>
    <w:rsid w:val="00E323E0"/>
    <w:rsid w:val="00E35A48"/>
    <w:rsid w:val="00E35EEC"/>
    <w:rsid w:val="00E37A15"/>
    <w:rsid w:val="00E45274"/>
    <w:rsid w:val="00E45953"/>
    <w:rsid w:val="00E45958"/>
    <w:rsid w:val="00E511DE"/>
    <w:rsid w:val="00E53499"/>
    <w:rsid w:val="00E556DA"/>
    <w:rsid w:val="00E61AA3"/>
    <w:rsid w:val="00E61B1A"/>
    <w:rsid w:val="00E63F30"/>
    <w:rsid w:val="00E65741"/>
    <w:rsid w:val="00E67A20"/>
    <w:rsid w:val="00E730F4"/>
    <w:rsid w:val="00E74D82"/>
    <w:rsid w:val="00E81B9D"/>
    <w:rsid w:val="00E82A47"/>
    <w:rsid w:val="00E87DCE"/>
    <w:rsid w:val="00E957FA"/>
    <w:rsid w:val="00EA0335"/>
    <w:rsid w:val="00EA1370"/>
    <w:rsid w:val="00EA1759"/>
    <w:rsid w:val="00EA2F37"/>
    <w:rsid w:val="00EA6023"/>
    <w:rsid w:val="00EA799F"/>
    <w:rsid w:val="00EB16F0"/>
    <w:rsid w:val="00EB4288"/>
    <w:rsid w:val="00EC010A"/>
    <w:rsid w:val="00EC0177"/>
    <w:rsid w:val="00EC793D"/>
    <w:rsid w:val="00ED2884"/>
    <w:rsid w:val="00ED2F48"/>
    <w:rsid w:val="00EF0388"/>
    <w:rsid w:val="00EF5CEA"/>
    <w:rsid w:val="00EF6A39"/>
    <w:rsid w:val="00F0121B"/>
    <w:rsid w:val="00F1079E"/>
    <w:rsid w:val="00F124BA"/>
    <w:rsid w:val="00F12BB1"/>
    <w:rsid w:val="00F1360E"/>
    <w:rsid w:val="00F1571C"/>
    <w:rsid w:val="00F15EFC"/>
    <w:rsid w:val="00F23482"/>
    <w:rsid w:val="00F27AD7"/>
    <w:rsid w:val="00F33A38"/>
    <w:rsid w:val="00F40097"/>
    <w:rsid w:val="00F441F6"/>
    <w:rsid w:val="00F45AFE"/>
    <w:rsid w:val="00F500CE"/>
    <w:rsid w:val="00F6056A"/>
    <w:rsid w:val="00F63254"/>
    <w:rsid w:val="00F6602D"/>
    <w:rsid w:val="00F6689B"/>
    <w:rsid w:val="00F66CDF"/>
    <w:rsid w:val="00F670C6"/>
    <w:rsid w:val="00F67313"/>
    <w:rsid w:val="00F72888"/>
    <w:rsid w:val="00F73FA2"/>
    <w:rsid w:val="00F80553"/>
    <w:rsid w:val="00F83F94"/>
    <w:rsid w:val="00F866AA"/>
    <w:rsid w:val="00F96653"/>
    <w:rsid w:val="00FA1FCD"/>
    <w:rsid w:val="00FB20BB"/>
    <w:rsid w:val="00FC0540"/>
    <w:rsid w:val="00FC0FF3"/>
    <w:rsid w:val="00FC3244"/>
    <w:rsid w:val="00FC4861"/>
    <w:rsid w:val="00FC61F0"/>
    <w:rsid w:val="00FC6CEF"/>
    <w:rsid w:val="00FC77A8"/>
    <w:rsid w:val="00FD0034"/>
    <w:rsid w:val="00FD2673"/>
    <w:rsid w:val="00FD35AE"/>
    <w:rsid w:val="00FD43F3"/>
    <w:rsid w:val="00FD617C"/>
    <w:rsid w:val="00FE2B86"/>
    <w:rsid w:val="00FE2CBB"/>
    <w:rsid w:val="00FE2CD8"/>
    <w:rsid w:val="00FE4B6E"/>
    <w:rsid w:val="00FE5059"/>
    <w:rsid w:val="00FE6DD6"/>
    <w:rsid w:val="00FF4F5F"/>
    <w:rsid w:val="00FF7961"/>
    <w:rsid w:val="01A27735"/>
    <w:rsid w:val="027D11CB"/>
    <w:rsid w:val="03F3BB76"/>
    <w:rsid w:val="04DA17F7"/>
    <w:rsid w:val="0A6EFB53"/>
    <w:rsid w:val="0D108777"/>
    <w:rsid w:val="0DBFC472"/>
    <w:rsid w:val="117A4DDE"/>
    <w:rsid w:val="156F011E"/>
    <w:rsid w:val="15C2E8D1"/>
    <w:rsid w:val="15CAD657"/>
    <w:rsid w:val="16FDB9F5"/>
    <w:rsid w:val="1A7922B6"/>
    <w:rsid w:val="1AB46E05"/>
    <w:rsid w:val="1B318DDF"/>
    <w:rsid w:val="1B70B81C"/>
    <w:rsid w:val="1C64DFB6"/>
    <w:rsid w:val="1CFB4DA6"/>
    <w:rsid w:val="1D2FF210"/>
    <w:rsid w:val="1DBCBFDF"/>
    <w:rsid w:val="1DD96C4C"/>
    <w:rsid w:val="244002B0"/>
    <w:rsid w:val="26078AE2"/>
    <w:rsid w:val="2997BB0F"/>
    <w:rsid w:val="2A9B42E7"/>
    <w:rsid w:val="2AA3306D"/>
    <w:rsid w:val="2C3F985F"/>
    <w:rsid w:val="2D199B64"/>
    <w:rsid w:val="2E8D480C"/>
    <w:rsid w:val="2EBD0DAA"/>
    <w:rsid w:val="2FC0C74C"/>
    <w:rsid w:val="2FF22370"/>
    <w:rsid w:val="3091E94F"/>
    <w:rsid w:val="31DD3E4F"/>
    <w:rsid w:val="32022D42"/>
    <w:rsid w:val="332A8018"/>
    <w:rsid w:val="336E3729"/>
    <w:rsid w:val="33997064"/>
    <w:rsid w:val="33FBB2DC"/>
    <w:rsid w:val="35573A71"/>
    <w:rsid w:val="36B853B6"/>
    <w:rsid w:val="3779C5EF"/>
    <w:rsid w:val="38542417"/>
    <w:rsid w:val="3BBC113B"/>
    <w:rsid w:val="3BDF1B46"/>
    <w:rsid w:val="3ECB8F8F"/>
    <w:rsid w:val="3F6C7202"/>
    <w:rsid w:val="3F884BAF"/>
    <w:rsid w:val="40AA1633"/>
    <w:rsid w:val="44F92056"/>
    <w:rsid w:val="453AD113"/>
    <w:rsid w:val="4571E04F"/>
    <w:rsid w:val="4649016E"/>
    <w:rsid w:val="46B7F1BA"/>
    <w:rsid w:val="46CAA50D"/>
    <w:rsid w:val="46D8B8B6"/>
    <w:rsid w:val="48EC1D90"/>
    <w:rsid w:val="4A7A8B79"/>
    <w:rsid w:val="4B544491"/>
    <w:rsid w:val="4C84AD2D"/>
    <w:rsid w:val="4E259650"/>
    <w:rsid w:val="50DA7416"/>
    <w:rsid w:val="513EB985"/>
    <w:rsid w:val="535A4B62"/>
    <w:rsid w:val="554128F5"/>
    <w:rsid w:val="55C39BE0"/>
    <w:rsid w:val="55DA5A7D"/>
    <w:rsid w:val="5623657F"/>
    <w:rsid w:val="58F189BC"/>
    <w:rsid w:val="58FE899D"/>
    <w:rsid w:val="59633035"/>
    <w:rsid w:val="59C6DFDE"/>
    <w:rsid w:val="5AFF0096"/>
    <w:rsid w:val="5B1828F3"/>
    <w:rsid w:val="5BA82927"/>
    <w:rsid w:val="5D5C06C2"/>
    <w:rsid w:val="5D8E93EA"/>
    <w:rsid w:val="5DF3F47C"/>
    <w:rsid w:val="5E5DF4F6"/>
    <w:rsid w:val="5F1FD43F"/>
    <w:rsid w:val="608FF871"/>
    <w:rsid w:val="63120001"/>
    <w:rsid w:val="66725CB3"/>
    <w:rsid w:val="68B29948"/>
    <w:rsid w:val="69BD1BFE"/>
    <w:rsid w:val="6A102D7F"/>
    <w:rsid w:val="6B152460"/>
    <w:rsid w:val="6B1CE8A4"/>
    <w:rsid w:val="6B1D11E6"/>
    <w:rsid w:val="6BED0107"/>
    <w:rsid w:val="6C0AFE95"/>
    <w:rsid w:val="6C4821F0"/>
    <w:rsid w:val="6D722A8C"/>
    <w:rsid w:val="6E36B94D"/>
    <w:rsid w:val="701C2261"/>
    <w:rsid w:val="711A2D02"/>
    <w:rsid w:val="74E669DA"/>
    <w:rsid w:val="76ABFCC2"/>
    <w:rsid w:val="77F3A768"/>
    <w:rsid w:val="798F77C9"/>
    <w:rsid w:val="7E6AD672"/>
    <w:rsid w:val="7E7C1149"/>
    <w:rsid w:val="7EF61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8D5FDD"/>
  <w15:docId w15:val="{934EC9FD-B913-4DB3-B936-0D65DA57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99" w:unhideWhenUsed="1"/>
    <w:lsdException w:name="annotation text" w:semiHidden="1"/>
    <w:lsdException w:name="header" w:uiPriority="2"/>
    <w:lsdException w:name="footer" w:uiPriority="99"/>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uiPriority="99"/>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uiPriority="1" w:qFormat="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iPriority="99"/>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4"/>
      </w:numPr>
      <w:spacing w:before="240"/>
      <w:outlineLvl w:val="0"/>
    </w:pPr>
    <w:rPr>
      <w:b/>
      <w:smallCaps/>
    </w:rPr>
  </w:style>
  <w:style w:type="paragraph" w:styleId="Heading2">
    <w:name w:val="heading 2"/>
    <w:basedOn w:val="Normal"/>
    <w:next w:val="Text2"/>
    <w:uiPriority w:val="1"/>
    <w:qFormat/>
    <w:pPr>
      <w:keepNext/>
      <w:numPr>
        <w:ilvl w:val="1"/>
        <w:numId w:val="4"/>
      </w:numPr>
      <w:outlineLvl w:val="1"/>
    </w:pPr>
    <w:rPr>
      <w:b/>
    </w:rPr>
  </w:style>
  <w:style w:type="paragraph" w:styleId="Heading3">
    <w:name w:val="heading 3"/>
    <w:basedOn w:val="Normal"/>
    <w:next w:val="Text3"/>
    <w:uiPriority w:val="1"/>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uiPriority w:val="2"/>
    <w:pPr>
      <w:spacing w:before="1200" w:after="0"/>
      <w:jc w:val="left"/>
    </w:pPr>
  </w:style>
  <w:style w:type="paragraph" w:customStyle="1" w:styleId="SignatureL">
    <w:name w:val="SignatureL"/>
    <w:basedOn w:val="Normal"/>
    <w:uiPriority w:val="2"/>
    <w:pPr>
      <w:spacing w:before="1200" w:after="0"/>
      <w:jc w:val="left"/>
    </w:pPr>
  </w:style>
  <w:style w:type="paragraph" w:styleId="Signature">
    <w:name w:val="Signature"/>
    <w:basedOn w:val="Normal"/>
    <w:uiPriority w:val="2"/>
    <w:pPr>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6">
    <w:name w:val="toc 6"/>
    <w:basedOn w:val="Normal"/>
    <w:next w:val="Normal"/>
    <w:semiHidden/>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uiPriority w:val="99"/>
    <w:semiHidden/>
    <w:unhideWhenUsed/>
    <w:pPr>
      <w:spacing w:after="120"/>
      <w:ind w:left="357" w:hanging="357"/>
    </w:pPr>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customStyle="1" w:styleId="AfterTable">
    <w:name w:val="After Table"/>
    <w:semiHidden/>
    <w:rPr>
      <w:sz w:val="4"/>
    </w:rPr>
  </w:style>
  <w:style w:type="paragraph" w:customStyle="1" w:styleId="TableText">
    <w:name w:val="Table Text"/>
    <w:basedOn w:val="Normal"/>
    <w:semiHidden/>
    <w:unhideWhenUsed/>
    <w:pPr>
      <w:spacing w:before="60" w:after="60"/>
      <w:jc w:val="left"/>
    </w:pPr>
  </w:style>
  <w:style w:type="paragraph" w:customStyle="1" w:styleId="TableSource4">
    <w:name w:val="Table Source 4"/>
    <w:basedOn w:val="Text4"/>
    <w:next w:val="Text4"/>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
    <w:name w:val="Table Source"/>
    <w:basedOn w:val="Normal"/>
    <w:next w:val="Normal"/>
    <w:semiHidden/>
    <w:unhideWhenUsed/>
    <w:rPr>
      <w:sz w:val="20"/>
    </w:rPr>
  </w:style>
  <w:style w:type="paragraph" w:customStyle="1" w:styleId="TableTitle4">
    <w:name w:val="Table Title 4"/>
    <w:basedOn w:val="Text4"/>
    <w:semiHidden/>
    <w:unhideWhenUsed/>
    <w:pPr>
      <w:spacing w:after="180"/>
    </w:pPr>
    <w:rPr>
      <w:b/>
      <w:i/>
    </w:rPr>
  </w:style>
  <w:style w:type="paragraph" w:customStyle="1" w:styleId="TableTitle3">
    <w:name w:val="Table Title 3"/>
    <w:basedOn w:val="Text3"/>
    <w:semiHidden/>
    <w:unhideWhenUsed/>
    <w:pPr>
      <w:spacing w:after="180"/>
    </w:pPr>
    <w:rPr>
      <w:b/>
      <w:i/>
    </w:rPr>
  </w:style>
  <w:style w:type="paragraph" w:customStyle="1" w:styleId="TableTitle2">
    <w:name w:val="Table Title 2"/>
    <w:basedOn w:val="Text2"/>
    <w:semiHidden/>
    <w:unhideWhenUsed/>
    <w:pPr>
      <w:spacing w:after="180"/>
    </w:pPr>
    <w:rPr>
      <w:b/>
      <w:i/>
    </w:rPr>
  </w:style>
  <w:style w:type="paragraph" w:customStyle="1" w:styleId="TableTitle1">
    <w:name w:val="Table Title 1"/>
    <w:basedOn w:val="Text1"/>
    <w:semiHidden/>
    <w:unhideWhenUsed/>
    <w:pPr>
      <w:spacing w:after="180"/>
    </w:pPr>
    <w:rPr>
      <w:b/>
      <w:i/>
    </w:rPr>
  </w:style>
  <w:style w:type="paragraph" w:customStyle="1" w:styleId="TableTitle">
    <w:name w:val="Table Title"/>
    <w:basedOn w:val="Normal"/>
    <w:semiHidden/>
    <w:unhideWhenUsed/>
    <w:pPr>
      <w:spacing w:after="180"/>
    </w:pPr>
    <w:rPr>
      <w:b/>
      <w:i/>
    </w:r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jc w:val="left"/>
    </w:pPr>
  </w:style>
  <w:style w:type="paragraph" w:customStyle="1" w:styleId="ZFlag">
    <w:name w:val="Z_Flag"/>
    <w:basedOn w:val="Normal"/>
    <w:next w:val="Normal"/>
    <w:uiPriority w:val="2"/>
    <w:pPr>
      <w:widowControl w:val="0"/>
      <w:spacing w:after="0"/>
      <w:ind w:right="85"/>
    </w:pPr>
  </w:style>
  <w:style w:type="paragraph" w:styleId="TOC7">
    <w:name w:val="toc 7"/>
    <w:basedOn w:val="Normal"/>
    <w:next w:val="Normal"/>
    <w:semiHidden/>
    <w:pPr>
      <w:tabs>
        <w:tab w:val="left" w:pos="3685"/>
      </w:tabs>
      <w:spacing w:after="0"/>
      <w:ind w:left="3401" w:hanging="1417"/>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SignatureTable">
    <w:name w:val="Signature Table"/>
    <w:basedOn w:val="HelperTableBase"/>
    <w:semiHidden/>
    <w:tblPr>
      <w:tblCellMar>
        <w:left w:w="567" w:type="dxa"/>
      </w:tblCellMar>
    </w:tblPr>
  </w:style>
  <w:style w:type="table" w:customStyle="1" w:styleId="NoteTable">
    <w:name w:val="Note Table"/>
    <w:basedOn w:val="HelperTableBase"/>
    <w:semiHidden/>
    <w:tblPr>
      <w:tblCellMar>
        <w:left w:w="108"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2">
    <w:name w:val="Eurolook Table 2"/>
    <w:basedOn w:val="EurolookTable"/>
    <w:semiHidden/>
    <w:unhideWhenUsed/>
    <w:tblPr>
      <w:tblInd w:w="1077" w:type="dxa"/>
    </w:tblPr>
    <w:tblStylePr w:type="firstRow">
      <w:rPr>
        <w:b/>
      </w:rPr>
    </w:tblStylePr>
  </w:style>
  <w:style w:type="table" w:customStyle="1" w:styleId="EurolookTable3">
    <w:name w:val="Eurolook Table 3"/>
    <w:basedOn w:val="EurolookTable"/>
    <w:semiHidden/>
    <w:unhideWhenUsed/>
    <w:tblPr>
      <w:tblInd w:w="1916" w:type="dxa"/>
    </w:tblPr>
    <w:tblStylePr w:type="firstRow">
      <w:rPr>
        <w:b/>
      </w:rPr>
    </w:tblStylePr>
  </w:style>
  <w:style w:type="table" w:customStyle="1" w:styleId="EurolookTable4">
    <w:name w:val="Eurolook Table 4"/>
    <w:basedOn w:val="EurolookTable"/>
    <w:semiHidden/>
    <w:unhideWhenUsed/>
    <w:tblPr>
      <w:tblInd w:w="2880" w:type="dxa"/>
    </w:tblPr>
    <w:tblStylePr w:type="firstRow">
      <w:rPr>
        <w:b/>
      </w:rPr>
    </w:tblStylePr>
  </w:style>
  <w:style w:type="character" w:customStyle="1" w:styleId="FooterChar">
    <w:name w:val="Footer Char"/>
    <w:basedOn w:val="DefaultParagraphFont"/>
    <w:link w:val="Footer"/>
    <w:uiPriority w:val="99"/>
    <w:rsid w:val="009619BA"/>
    <w:rPr>
      <w:sz w:val="16"/>
    </w:rPr>
  </w:style>
  <w:style w:type="paragraph" w:styleId="ListParagraph">
    <w:name w:val="List Paragraph"/>
    <w:aliases w:val="numbered list,2,OBC Bullet,Normal 1,Task Body,Viñetas (Inicio Parrafo),Paragrafo elenco,3 Txt tabla,Zerrenda-paragrafoa,Fiche List Paragraph,Dot pt,F5 List Paragraph,List Paragraph1,No Spacing1,List Paragraph Char Char Char,Indicator Text"/>
    <w:basedOn w:val="Normal"/>
    <w:link w:val="ListParagraphChar"/>
    <w:uiPriority w:val="34"/>
    <w:qFormat/>
    <w:locked/>
    <w:rsid w:val="009619BA"/>
    <w:pPr>
      <w:ind w:left="720"/>
      <w:contextualSpacing/>
    </w:pPr>
  </w:style>
  <w:style w:type="table" w:styleId="TableGrid">
    <w:name w:val="Table Grid"/>
    <w:basedOn w:val="TableNormal"/>
    <w:uiPriority w:val="59"/>
    <w:locked/>
    <w:rsid w:val="009619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locked/>
    <w:rsid w:val="007B4415"/>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B4415"/>
    <w:rPr>
      <w:rFonts w:ascii="Segoe UI" w:hAnsi="Segoe UI" w:cs="Segoe UI"/>
      <w:sz w:val="18"/>
      <w:szCs w:val="18"/>
    </w:rPr>
  </w:style>
  <w:style w:type="character" w:styleId="CommentReference">
    <w:name w:val="annotation reference"/>
    <w:basedOn w:val="DefaultParagraphFont"/>
    <w:semiHidden/>
    <w:locked/>
    <w:rsid w:val="00672F77"/>
    <w:rPr>
      <w:sz w:val="16"/>
      <w:szCs w:val="16"/>
    </w:rPr>
  </w:style>
  <w:style w:type="paragraph" w:styleId="CommentText">
    <w:name w:val="annotation text"/>
    <w:basedOn w:val="Normal"/>
    <w:link w:val="CommentTextChar"/>
    <w:semiHidden/>
    <w:locked/>
    <w:rsid w:val="00672F77"/>
    <w:rPr>
      <w:sz w:val="20"/>
    </w:rPr>
  </w:style>
  <w:style w:type="character" w:customStyle="1" w:styleId="CommentTextChar">
    <w:name w:val="Comment Text Char"/>
    <w:basedOn w:val="DefaultParagraphFont"/>
    <w:link w:val="CommentText"/>
    <w:semiHidden/>
    <w:rsid w:val="00672F77"/>
    <w:rPr>
      <w:sz w:val="20"/>
    </w:rPr>
  </w:style>
  <w:style w:type="paragraph" w:styleId="CommentSubject">
    <w:name w:val="annotation subject"/>
    <w:basedOn w:val="CommentText"/>
    <w:next w:val="CommentText"/>
    <w:link w:val="CommentSubjectChar"/>
    <w:semiHidden/>
    <w:locked/>
    <w:rsid w:val="00672F77"/>
    <w:rPr>
      <w:b/>
      <w:bCs/>
    </w:rPr>
  </w:style>
  <w:style w:type="character" w:customStyle="1" w:styleId="CommentSubjectChar">
    <w:name w:val="Comment Subject Char"/>
    <w:basedOn w:val="CommentTextChar"/>
    <w:link w:val="CommentSubject"/>
    <w:semiHidden/>
    <w:rsid w:val="00672F77"/>
    <w:rPr>
      <w:b/>
      <w:bCs/>
      <w:sz w:val="20"/>
    </w:rPr>
  </w:style>
  <w:style w:type="paragraph" w:styleId="Revision">
    <w:name w:val="Revision"/>
    <w:hidden/>
    <w:semiHidden/>
    <w:locked/>
    <w:rsid w:val="009D0634"/>
  </w:style>
  <w:style w:type="character" w:styleId="FootnoteReference">
    <w:name w:val="footnote reference"/>
    <w:basedOn w:val="DefaultParagraphFont"/>
    <w:uiPriority w:val="99"/>
    <w:locked/>
    <w:rsid w:val="00392D7D"/>
    <w:rPr>
      <w:vertAlign w:val="superscript"/>
    </w:r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basedOn w:val="DefaultParagraphFont"/>
    <w:link w:val="ListParagraph"/>
    <w:qFormat/>
    <w:locked/>
    <w:rsid w:val="009B121D"/>
  </w:style>
  <w:style w:type="character" w:customStyle="1" w:styleId="FootnoteTextChar">
    <w:name w:val="Footnote Text Char"/>
    <w:basedOn w:val="DefaultParagraphFont"/>
    <w:link w:val="FootnoteText"/>
    <w:uiPriority w:val="99"/>
    <w:semiHidden/>
    <w:rsid w:val="00671302"/>
    <w:rPr>
      <w:sz w:val="20"/>
    </w:rPr>
  </w:style>
  <w:style w:type="character" w:customStyle="1" w:styleId="normaltextrun">
    <w:name w:val="normaltextrun"/>
    <w:basedOn w:val="DefaultParagraphFont"/>
    <w:rsid w:val="007930B4"/>
  </w:style>
  <w:style w:type="character" w:customStyle="1" w:styleId="eop">
    <w:name w:val="eop"/>
    <w:basedOn w:val="DefaultParagraphFont"/>
    <w:rsid w:val="007930B4"/>
  </w:style>
  <w:style w:type="paragraph" w:customStyle="1" w:styleId="paragraph">
    <w:name w:val="paragraph"/>
    <w:basedOn w:val="Normal"/>
    <w:rsid w:val="007930B4"/>
    <w:pPr>
      <w:spacing w:before="100" w:beforeAutospacing="1" w:after="100" w:afterAutospacing="1"/>
      <w:jc w:val="left"/>
    </w:pPr>
    <w:rPr>
      <w:szCs w:val="24"/>
    </w:rPr>
  </w:style>
  <w:style w:type="character" w:customStyle="1" w:styleId="md-body-1">
    <w:name w:val="md-body-1"/>
    <w:basedOn w:val="DefaultParagraphFont"/>
    <w:rsid w:val="00932B99"/>
  </w:style>
  <w:style w:type="paragraph" w:customStyle="1" w:styleId="Default">
    <w:name w:val="Default"/>
    <w:rsid w:val="00663051"/>
    <w:pPr>
      <w:autoSpaceDE w:val="0"/>
      <w:autoSpaceDN w:val="0"/>
      <w:adjustRightInd w:val="0"/>
    </w:pPr>
    <w:rPr>
      <w:rFonts w:ascii="Calibri" w:eastAsia="Calibri" w:hAnsi="Calibri" w:cs="Calibri"/>
      <w:color w:val="000000"/>
      <w:szCs w:val="24"/>
      <w:lang w:val="en-US" w:eastAsia="en-US"/>
    </w:rPr>
  </w:style>
  <w:style w:type="character" w:styleId="Hyperlink">
    <w:name w:val="Hyperlink"/>
    <w:uiPriority w:val="99"/>
    <w:unhideWhenUsed/>
    <w:locked/>
    <w:rsid w:val="00663051"/>
    <w:rPr>
      <w:color w:val="0563C1"/>
      <w:u w:val="single"/>
    </w:rPr>
  </w:style>
  <w:style w:type="paragraph" w:customStyle="1" w:styleId="Normal1">
    <w:name w:val="Normal1"/>
    <w:basedOn w:val="Normal"/>
    <w:rsid w:val="006D5F13"/>
    <w:pPr>
      <w:spacing w:before="100" w:beforeAutospacing="1" w:after="100" w:afterAutospacing="1"/>
      <w:jc w:val="left"/>
    </w:pPr>
    <w:rPr>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81539">
      <w:bodyDiv w:val="1"/>
      <w:marLeft w:val="0"/>
      <w:marRight w:val="0"/>
      <w:marTop w:val="0"/>
      <w:marBottom w:val="0"/>
      <w:divBdr>
        <w:top w:val="none" w:sz="0" w:space="0" w:color="auto"/>
        <w:left w:val="none" w:sz="0" w:space="0" w:color="auto"/>
        <w:bottom w:val="none" w:sz="0" w:space="0" w:color="auto"/>
        <w:right w:val="none" w:sz="0" w:space="0" w:color="auto"/>
      </w:divBdr>
    </w:div>
    <w:div w:id="531648665">
      <w:bodyDiv w:val="1"/>
      <w:marLeft w:val="0"/>
      <w:marRight w:val="0"/>
      <w:marTop w:val="0"/>
      <w:marBottom w:val="0"/>
      <w:divBdr>
        <w:top w:val="none" w:sz="0" w:space="0" w:color="auto"/>
        <w:left w:val="none" w:sz="0" w:space="0" w:color="auto"/>
        <w:bottom w:val="none" w:sz="0" w:space="0" w:color="auto"/>
        <w:right w:val="none" w:sz="0" w:space="0" w:color="auto"/>
      </w:divBdr>
    </w:div>
    <w:div w:id="586302861">
      <w:bodyDiv w:val="1"/>
      <w:marLeft w:val="0"/>
      <w:marRight w:val="0"/>
      <w:marTop w:val="0"/>
      <w:marBottom w:val="0"/>
      <w:divBdr>
        <w:top w:val="none" w:sz="0" w:space="0" w:color="auto"/>
        <w:left w:val="none" w:sz="0" w:space="0" w:color="auto"/>
        <w:bottom w:val="none" w:sz="0" w:space="0" w:color="auto"/>
        <w:right w:val="none" w:sz="0" w:space="0" w:color="auto"/>
      </w:divBdr>
    </w:div>
    <w:div w:id="763112755">
      <w:bodyDiv w:val="1"/>
      <w:marLeft w:val="0"/>
      <w:marRight w:val="0"/>
      <w:marTop w:val="0"/>
      <w:marBottom w:val="0"/>
      <w:divBdr>
        <w:top w:val="none" w:sz="0" w:space="0" w:color="auto"/>
        <w:left w:val="none" w:sz="0" w:space="0" w:color="auto"/>
        <w:bottom w:val="none" w:sz="0" w:space="0" w:color="auto"/>
        <w:right w:val="none" w:sz="0" w:space="0" w:color="auto"/>
      </w:divBdr>
    </w:div>
    <w:div w:id="1285431341">
      <w:bodyDiv w:val="1"/>
      <w:marLeft w:val="0"/>
      <w:marRight w:val="0"/>
      <w:marTop w:val="0"/>
      <w:marBottom w:val="0"/>
      <w:divBdr>
        <w:top w:val="none" w:sz="0" w:space="0" w:color="auto"/>
        <w:left w:val="none" w:sz="0" w:space="0" w:color="auto"/>
        <w:bottom w:val="none" w:sz="0" w:space="0" w:color="auto"/>
        <w:right w:val="none" w:sz="0" w:space="0" w:color="auto"/>
      </w:divBdr>
    </w:div>
    <w:div w:id="1287855853">
      <w:bodyDiv w:val="1"/>
      <w:marLeft w:val="0"/>
      <w:marRight w:val="0"/>
      <w:marTop w:val="0"/>
      <w:marBottom w:val="0"/>
      <w:divBdr>
        <w:top w:val="none" w:sz="0" w:space="0" w:color="auto"/>
        <w:left w:val="none" w:sz="0" w:space="0" w:color="auto"/>
        <w:bottom w:val="none" w:sz="0" w:space="0" w:color="auto"/>
        <w:right w:val="none" w:sz="0" w:space="0" w:color="auto"/>
      </w:divBdr>
    </w:div>
    <w:div w:id="1299726794">
      <w:bodyDiv w:val="1"/>
      <w:marLeft w:val="0"/>
      <w:marRight w:val="0"/>
      <w:marTop w:val="0"/>
      <w:marBottom w:val="0"/>
      <w:divBdr>
        <w:top w:val="none" w:sz="0" w:space="0" w:color="auto"/>
        <w:left w:val="none" w:sz="0" w:space="0" w:color="auto"/>
        <w:bottom w:val="none" w:sz="0" w:space="0" w:color="auto"/>
        <w:right w:val="none" w:sz="0" w:space="0" w:color="auto"/>
      </w:divBdr>
    </w:div>
    <w:div w:id="1434714854">
      <w:bodyDiv w:val="1"/>
      <w:marLeft w:val="0"/>
      <w:marRight w:val="0"/>
      <w:marTop w:val="0"/>
      <w:marBottom w:val="0"/>
      <w:divBdr>
        <w:top w:val="none" w:sz="0" w:space="0" w:color="auto"/>
        <w:left w:val="none" w:sz="0" w:space="0" w:color="auto"/>
        <w:bottom w:val="none" w:sz="0" w:space="0" w:color="auto"/>
        <w:right w:val="none" w:sz="0" w:space="0" w:color="auto"/>
      </w:divBdr>
    </w:div>
    <w:div w:id="1902209753">
      <w:bodyDiv w:val="1"/>
      <w:marLeft w:val="0"/>
      <w:marRight w:val="0"/>
      <w:marTop w:val="0"/>
      <w:marBottom w:val="0"/>
      <w:divBdr>
        <w:top w:val="none" w:sz="0" w:space="0" w:color="auto"/>
        <w:left w:val="none" w:sz="0" w:space="0" w:color="auto"/>
        <w:bottom w:val="none" w:sz="0" w:space="0" w:color="auto"/>
        <w:right w:val="none" w:sz="0" w:space="0" w:color="auto"/>
      </w:divBdr>
    </w:div>
    <w:div w:id="1925214240">
      <w:bodyDiv w:val="1"/>
      <w:marLeft w:val="0"/>
      <w:marRight w:val="0"/>
      <w:marTop w:val="0"/>
      <w:marBottom w:val="0"/>
      <w:divBdr>
        <w:top w:val="none" w:sz="0" w:space="0" w:color="auto"/>
        <w:left w:val="none" w:sz="0" w:space="0" w:color="auto"/>
        <w:bottom w:val="none" w:sz="0" w:space="0" w:color="auto"/>
        <w:right w:val="none" w:sz="0" w:space="0" w:color="auto"/>
      </w:divBdr>
    </w:div>
    <w:div w:id="2006858826">
      <w:bodyDiv w:val="1"/>
      <w:marLeft w:val="0"/>
      <w:marRight w:val="0"/>
      <w:marTop w:val="0"/>
      <w:marBottom w:val="0"/>
      <w:divBdr>
        <w:top w:val="none" w:sz="0" w:space="0" w:color="auto"/>
        <w:left w:val="none" w:sz="0" w:space="0" w:color="auto"/>
        <w:bottom w:val="none" w:sz="0" w:space="0" w:color="auto"/>
        <w:right w:val="none" w:sz="0" w:space="0" w:color="auto"/>
      </w:divBdr>
    </w:div>
    <w:div w:id="2076271904">
      <w:bodyDiv w:val="1"/>
      <w:marLeft w:val="0"/>
      <w:marRight w:val="0"/>
      <w:marTop w:val="0"/>
      <w:marBottom w:val="0"/>
      <w:divBdr>
        <w:top w:val="none" w:sz="0" w:space="0" w:color="auto"/>
        <w:left w:val="none" w:sz="0" w:space="0" w:color="auto"/>
        <w:bottom w:val="none" w:sz="0" w:space="0" w:color="auto"/>
        <w:right w:val="none" w:sz="0" w:space="0" w:color="auto"/>
      </w:divBdr>
    </w:div>
    <w:div w:id="2092048190">
      <w:bodyDiv w:val="1"/>
      <w:marLeft w:val="0"/>
      <w:marRight w:val="0"/>
      <w:marTop w:val="0"/>
      <w:marBottom w:val="0"/>
      <w:divBdr>
        <w:top w:val="none" w:sz="0" w:space="0" w:color="auto"/>
        <w:left w:val="none" w:sz="0" w:space="0" w:color="auto"/>
        <w:bottom w:val="none" w:sz="0" w:space="0" w:color="auto"/>
        <w:right w:val="none" w:sz="0" w:space="0" w:color="auto"/>
      </w:divBdr>
      <w:divsChild>
        <w:div w:id="704987441">
          <w:marLeft w:val="1166"/>
          <w:marRight w:val="0"/>
          <w:marTop w:val="77"/>
          <w:marBottom w:val="0"/>
          <w:divBdr>
            <w:top w:val="none" w:sz="0" w:space="0" w:color="auto"/>
            <w:left w:val="none" w:sz="0" w:space="0" w:color="auto"/>
            <w:bottom w:val="none" w:sz="0" w:space="0" w:color="auto"/>
            <w:right w:val="none" w:sz="0" w:space="0" w:color="auto"/>
          </w:divBdr>
        </w:div>
        <w:div w:id="340132850">
          <w:marLeft w:val="1166"/>
          <w:marRight w:val="0"/>
          <w:marTop w:val="77"/>
          <w:marBottom w:val="0"/>
          <w:divBdr>
            <w:top w:val="none" w:sz="0" w:space="0" w:color="auto"/>
            <w:left w:val="none" w:sz="0" w:space="0" w:color="auto"/>
            <w:bottom w:val="none" w:sz="0" w:space="0" w:color="auto"/>
            <w:right w:val="none" w:sz="0" w:space="0" w:color="auto"/>
          </w:divBdr>
        </w:div>
        <w:div w:id="1040974051">
          <w:marLeft w:val="1166"/>
          <w:marRight w:val="0"/>
          <w:marTop w:val="77"/>
          <w:marBottom w:val="0"/>
          <w:divBdr>
            <w:top w:val="none" w:sz="0" w:space="0" w:color="auto"/>
            <w:left w:val="none" w:sz="0" w:space="0" w:color="auto"/>
            <w:bottom w:val="none" w:sz="0" w:space="0" w:color="auto"/>
            <w:right w:val="none" w:sz="0" w:space="0" w:color="auto"/>
          </w:divBdr>
        </w:div>
        <w:div w:id="398598985">
          <w:marLeft w:val="1166"/>
          <w:marRight w:val="0"/>
          <w:marTop w:val="77"/>
          <w:marBottom w:val="0"/>
          <w:divBdr>
            <w:top w:val="none" w:sz="0" w:space="0" w:color="auto"/>
            <w:left w:val="none" w:sz="0" w:space="0" w:color="auto"/>
            <w:bottom w:val="none" w:sz="0" w:space="0" w:color="auto"/>
            <w:right w:val="none" w:sz="0" w:space="0" w:color="auto"/>
          </w:divBdr>
        </w:div>
        <w:div w:id="1946888261">
          <w:marLeft w:val="1166"/>
          <w:marRight w:val="0"/>
          <w:marTop w:val="77"/>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styles" Target="styl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png"/><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EC-DAC1-SECRETARIAT@ec.europa.eu" TargetMode="External"/><Relationship Id="rId1" Type="http://schemas.openxmlformats.org/officeDocument/2006/relationships/hyperlink" Target="https://ec.europa.eu/social/main.jsp?catId=325&amp;intPageId=3587&amp;langId=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EurolookProperties>
  <ProductCustomizationId>EC</ProductCustomizationId>
  <Created>
    <Version>10.0.42447.0</Version>
    <Date>2021-07-05T12:13:52</Date>
    <Language>EN</Language>
    <Note/>
  </Created>
  <Edited>
    <Version>10.0.42447.0</Version>
    <Date>2021-11-22T12:43:22</Date>
  </Edited>
  <DocumentModel>
    <Id>0b054141-88b1-4efb-8c91-2905cb0bed6c</Id>
    <Name>Note</Name>
  </DocumentModel>
  <DocumentDate>2021-07-05T12:13:52</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Author Role="Creator" AuthorRoleName="Signatory" AuthorRoleId="dd422d74-d41f-4095-8cb8-8304a90a6b0c">
  <Id>9e583173-0205-47eb-8389-a2b5e0774890</Id>
  <Names>
    <Latin>
      <FirstName>Alice</FirstName>
      <LastName>BROKELIND</LastName>
    </Latin>
    <Greek>
      <FirstName/>
      <LastName/>
    </Greek>
    <Cyrillic>
      <FirstName/>
      <LastName/>
    </Cyrillic>
    <DocumentScript>
      <FirstName>Alice</FirstName>
      <LastName>BROKELIND</LastName>
      <FullName>Alice BROKELIND</FullName>
    </DocumentScript>
  </Names>
  <Initials>AB</Initials>
  <Gender>f</Gender>
  <Email>Alice.BROKELIND@ec.europa.eu</Email>
  <Service>SG.RECOVER.A.4</Service>
  <Function ADCode="" ShowInSignature="true" ShowInHeader="false" HeaderText=""/>
  <WebAddress/>
  <FunctionalMailbox/>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4037235a-35bf-4526-97d1-72d33a150a4f</Id>
    <LogicalLevel>2</LogicalLevel>
    <Name>SG.RECOVER</Name>
    <HeadLine1>Recovery &amp; Resilience Task Force
DG ECFIN</HeadLine1>
    <HeadLine2/>
    <PrimaryAddressId>f03b5801-04c9-4931-aa17-c6d6c70bc579</PrimaryAddressId>
    <SecondaryAddressId/>
    <WebAddress/>
    <InheritedWebAddress>WebAddress</InheritedWebAddress>
    <ShowInHeader>true</ShowInHeader>
  </OrgaEntity2>
  <OrgaEntity3>
    <Id>07217e32-3da7-4738-9bc2-21a43e4feb7f</Id>
    <LogicalLevel>3</LogicalLevel>
    <Name>SG.RECOVER.A.4</Name>
    <HeadLine1>SG.RECOVER.A.4 - France, Cyprus – Interinstitutional relations, Steering Board Secretariat</HeadLine1>
    <HeadLine2/>
    <PrimaryAddressId>f03b5801-04c9-4931-aa17-c6d6c70bc579</PrimaryAddressId>
    <SecondaryAddressId/>
    <WebAddress/>
    <InheritedWebAddress>WebAddress</InheritedWebAddress>
    <ShowInHeader>true</ShowInHeader>
  </OrgaEntity3>
  <Hierarchy>
    <OrgaEntity>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
    <OrgaEntity>
      <Id>4037235a-35bf-4526-97d1-72d33a150a4f</Id>
      <LogicalLevel>2</LogicalLevel>
      <Name>SG.RECOVER</Name>
      <HeadLine1>Recovery &amp; Resilience Task Force</HeadLine1>
      <HeadLine2/>
      <PrimaryAddressId>f03b5801-04c9-4931-aa17-c6d6c70bc579</PrimaryAddressId>
      <SecondaryAddressId/>
      <WebAddress/>
      <InheritedWebAddress>WebAddress</InheritedWebAddress>
      <ShowInHeader>true</ShowInHeader>
    </OrgaEntity>
    <OrgaEntity>
      <Id>07217e32-3da7-4738-9bc2-21a43e4feb7f</Id>
      <LogicalLevel>3</LogicalLevel>
      <Name>SG.RECOVER.A.4</Name>
      <HeadLine1>SG.RECOVER.A.4 - France, Cyprus – Interinstitutional relations, Steering Board Secretariat</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+32 229-89029</Phone>
    <Office>BERL 05/VES2</Office>
  </MainWorkplace>
  <Workplaces>
    <Workplace IsMain="true">
      <AddressId>f03b5801-04c9-4931-aa17-c6d6c70bc579</AddressId>
      <Fax/>
      <Phone>+32 229-89029</Phone>
      <Office>BERL 05/VES2</Office>
    </Workplace>
    <Workplace IsMain="false">
      <AddressId>1264fb81-f6bb-475e-9f9d-a937d3be6ee2</AddressId>
      <Fax/>
      <Phone/>
      <Office/>
    </Workplace>
  </Workplaces>
</Author>
</file>

<file path=customXml/item4.xml><?xml version="1.0" encoding="utf-8"?>
<Author AuthorRoleName="Writer" AuthorRoleId="a4fbaff4-b07c-48b4-a21e-e7b9eedf3796">
  <Id>9e583173-0205-47eb-8389-a2b5e0774890</Id>
  <Names>
    <Latin>
      <FirstName>Alice</FirstName>
      <LastName>BROKELIND</LastName>
    </Latin>
    <Greek>
      <FirstName/>
      <LastName/>
    </Greek>
    <Cyrillic>
      <FirstName/>
      <LastName/>
    </Cyrillic>
    <DocumentScript>
      <FirstName>Alice</FirstName>
      <LastName>BROKELIND</LastName>
      <FullName>Alice BROKELIND</FullName>
    </DocumentScript>
  </Names>
  <Initials>AB</Initials>
  <Gender>f</Gender>
  <Email>Alice.BROKELIND@ec.europa.eu</Email>
  <Service>SG.RECOVER.A.4</Service>
  <Function ADCode="" ShowInSignature="true" ShowInHeader="false" HeaderText=""/>
  <WebAddress/>
  <FunctionalMailbox/>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4037235a-35bf-4526-97d1-72d33a150a4f</Id>
    <LogicalLevel>2</LogicalLevel>
    <Name>SG.RECOVER</Name>
    <HeadLine1>Recovery &amp; Resilience Task Force</HeadLine1>
    <HeadLine2/>
    <PrimaryAddressId>f03b5801-04c9-4931-aa17-c6d6c70bc579</PrimaryAddressId>
    <SecondaryAddressId/>
    <WebAddress/>
    <InheritedWebAddress>WebAddress</InheritedWebAddress>
    <ShowInHeader>true</ShowInHeader>
  </OrgaEntity2>
  <OrgaEntity3>
    <Id>07217e32-3da7-4738-9bc2-21a43e4feb7f</Id>
    <LogicalLevel>3</LogicalLevel>
    <Name>SG.RECOVER.A.4</Name>
    <HeadLine1>SG.RECOVER.A.4 - France, Cyprus – Interinstitutional relations, Steering Board Secretariat</HeadLine1>
    <HeadLine2/>
    <PrimaryAddressId>f03b5801-04c9-4931-aa17-c6d6c70bc579</PrimaryAddressId>
    <SecondaryAddressId/>
    <WebAddress/>
    <InheritedWebAddress>WebAddress</InheritedWebAddress>
    <ShowInHeader>true</ShowInHeader>
  </OrgaEntity3>
  <Hierarchy>
    <OrgaEntity>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
    <OrgaEntity>
      <Id>4037235a-35bf-4526-97d1-72d33a150a4f</Id>
      <LogicalLevel>2</LogicalLevel>
      <Name>SG.RECOVER</Name>
      <HeadLine1>Recovery &amp; Resilience Task Force</HeadLine1>
      <HeadLine2/>
      <PrimaryAddressId>f03b5801-04c9-4931-aa17-c6d6c70bc579</PrimaryAddressId>
      <SecondaryAddressId/>
      <WebAddress/>
      <InheritedWebAddress>WebAddress</InheritedWebAddress>
      <ShowInHeader>true</ShowInHeader>
    </OrgaEntity>
    <OrgaEntity>
      <Id>07217e32-3da7-4738-9bc2-21a43e4feb7f</Id>
      <LogicalLevel>3</LogicalLevel>
      <Name>SG.RECOVER.A.4</Name>
      <HeadLine1>SG.RECOVER.A.4 - France, Cyprus – Interinstitutional relations, Steering Board Secretariat</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+32 229-89029</Phone>
    <Office>BERL 05/VES2</Office>
  </MainWorkplace>
  <Workplaces>
    <Workplace IsMain="true">
      <AddressId>f03b5801-04c9-4931-aa17-c6d6c70bc579</AddressId>
      <Fax/>
      <Phone>+32 229-89029</Phone>
      <Office>BERL 05/VES2</Office>
    </Workplace>
    <Workplace IsMain="false">
      <AddressId>1264fb81-f6bb-475e-9f9d-a937d3be6ee2</AddressId>
      <Fax/>
      <Phone/>
      <Office/>
    </Workplace>
  </Workplaces>
</Author>
</file>

<file path=customXml/item5.xml><?xml version="1.0" encoding="utf-8"?>
<ct:contentTypeSchema xmlns:ct="http://schemas.microsoft.com/office/2006/metadata/contentType" xmlns:ma="http://schemas.microsoft.com/office/2006/metadata/properties/metaAttributes" ct:_="" ma:_="" ma:contentTypeName="Document" ma:contentTypeID="0x0101003CC72D17F356504284F0994271ED4F61" ma:contentTypeVersion="13" ma:contentTypeDescription="Create a new document." ma:contentTypeScope="" ma:versionID="bd293cb6b40015f0e42cbd67e15b85b3">
  <xsd:schema xmlns:xsd="http://www.w3.org/2001/XMLSchema" xmlns:xs="http://www.w3.org/2001/XMLSchema" xmlns:p="http://schemas.microsoft.com/office/2006/metadata/properties" xmlns:ns3="0dd83f37-0352-417e-bfae-1ed18b8bad1d" xmlns:ns4="9f515287-89f5-4da1-b715-98ec5ddb61d4" targetNamespace="http://schemas.microsoft.com/office/2006/metadata/properties" ma:root="true" ma:fieldsID="d5a11bab5d75bd53af6afca0291f08f4" ns3:_="" ns4:_="">
    <xsd:import namespace="0dd83f37-0352-417e-bfae-1ed18b8bad1d"/>
    <xsd:import namespace="9f515287-89f5-4da1-b715-98ec5ddb61d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83f37-0352-417e-bfae-1ed18b8ba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515287-89f5-4da1-b715-98ec5ddb61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Head>Guidance note on the use of Arachne</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LabelSource>Source</LabelSource>
  <LabelTableSeqEC>Table {SEQ Table \* ARABIC }: </LabelTableSeqEC>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C0037BA-965C-4AE1-AC57-8B4645A2A587}">
  <ds:schemaRefs>
    <ds:schemaRef ds:uri="http://schemas.microsoft.com/office/2006/metadata/properties"/>
    <ds:schemaRef ds:uri="http://schemas.microsoft.com/office/2006/documentManagement/types"/>
    <ds:schemaRef ds:uri="9f515287-89f5-4da1-b715-98ec5ddb61d4"/>
    <ds:schemaRef ds:uri="http://purl.org/dc/elements/1.1/"/>
    <ds:schemaRef ds:uri="http://schemas.openxmlformats.org/package/2006/metadata/core-properties"/>
    <ds:schemaRef ds:uri="http://purl.org/dc/dcmitype/"/>
    <ds:schemaRef ds:uri="http://schemas.microsoft.com/office/infopath/2007/PartnerControls"/>
    <ds:schemaRef ds:uri="0dd83f37-0352-417e-bfae-1ed18b8bad1d"/>
    <ds:schemaRef ds:uri="http://www.w3.org/XML/1998/namespace"/>
    <ds:schemaRef ds:uri="http://purl.org/dc/terms/"/>
  </ds:schemaRefs>
</ds:datastoreItem>
</file>

<file path=customXml/itemProps3.xml><?xml version="1.0" encoding="utf-8"?>
<ds:datastoreItem xmlns:ds="http://schemas.openxmlformats.org/officeDocument/2006/customXml" ds:itemID="{ABA429A9-E29F-41D7-84A1-F0D6F8320BA2}">
  <ds:schemaRefs/>
</ds:datastoreItem>
</file>

<file path=customXml/itemProps4.xml><?xml version="1.0" encoding="utf-8"?>
<ds:datastoreItem xmlns:ds="http://schemas.openxmlformats.org/officeDocument/2006/customXml" ds:itemID="{567460F8-86E0-4FC8-BEED-90F605A6071A}">
  <ds:schemaRefs/>
</ds:datastoreItem>
</file>

<file path=customXml/itemProps5.xml><?xml version="1.0" encoding="utf-8"?>
<ds:datastoreItem xmlns:ds="http://schemas.openxmlformats.org/officeDocument/2006/customXml" ds:itemID="{9EAD2742-1794-476B-AB0D-73F9314E4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83f37-0352-417e-bfae-1ed18b8bad1d"/>
    <ds:schemaRef ds:uri="9f515287-89f5-4da1-b715-98ec5ddb61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3469CB49-18FD-472F-B337-CD78A1693525}">
  <ds:schemaRefs>
    <ds:schemaRef ds:uri="http://schemas.microsoft.com/sharepoint/v3/contenttype/forms"/>
  </ds:schemaRefs>
</ds:datastoreItem>
</file>

<file path=customXml/itemProps8.xml><?xml version="1.0" encoding="utf-8"?>
<ds:datastoreItem xmlns:ds="http://schemas.openxmlformats.org/officeDocument/2006/customXml" ds:itemID="{1775AB07-8537-47C1-B921-638C8D673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14</Pages>
  <Words>4357</Words>
  <Characters>24748</Characters>
  <Application>Microsoft Office Word</Application>
  <DocSecurity>4</DocSecurity>
  <PresentationFormat>Microsoft Word 14.0</PresentationFormat>
  <Lines>634</Lines>
  <Paragraphs>206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PEROULAKIS Alexis</dc:creator>
  <cp:keywords/>
  <dc:description/>
  <cp:lastModifiedBy>SCHELLER Konstantin (ECFIN)</cp:lastModifiedBy>
  <cp:revision>2</cp:revision>
  <dcterms:created xsi:type="dcterms:W3CDTF">2022-01-28T15:20:00Z</dcterms:created>
  <dcterms:modified xsi:type="dcterms:W3CDTF">2022-01-28T15:20:00Z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not.dot</vt:lpwstr>
  </property>
  <property fmtid="{D5CDD505-2E9C-101B-9397-08002B2CF9AE}" pid="4" name="ContentTypeId">
    <vt:lpwstr>0x0101003CC72D17F356504284F0994271ED4F61</vt:lpwstr>
  </property>
</Properties>
</file>